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87" w:rsidRDefault="00852987" w:rsidP="00852987">
      <w:bookmarkStart w:id="0" w:name="_GoBack"/>
      <w:bookmarkEnd w:id="0"/>
      <w:r>
        <w:t xml:space="preserve">https://www.researchgate.net/publication/283713863 </w:t>
      </w:r>
    </w:p>
    <w:p w:rsidR="00852987" w:rsidRDefault="00852987" w:rsidP="00852987">
      <w:r>
        <w:t>A human rights model of disability</w:t>
      </w:r>
    </w:p>
    <w:p w:rsidR="00852987" w:rsidRDefault="00852987" w:rsidP="00852987">
      <w:r>
        <w:t>Article · December 2014</w:t>
      </w:r>
    </w:p>
    <w:p w:rsidR="00852987" w:rsidRDefault="00852987" w:rsidP="00852987">
      <w:r>
        <w:t>author:</w:t>
      </w:r>
      <w:r>
        <w:rPr>
          <w:rFonts w:hint="eastAsia"/>
        </w:rPr>
        <w:t xml:space="preserve">　</w:t>
      </w:r>
      <w:r>
        <w:t xml:space="preserve">Theresia </w:t>
      </w:r>
      <w:proofErr w:type="spellStart"/>
      <w:r>
        <w:t>Degener</w:t>
      </w:r>
      <w:proofErr w:type="spellEnd"/>
      <w:r>
        <w:t xml:space="preserve"> </w:t>
      </w:r>
    </w:p>
    <w:p w:rsidR="00852987" w:rsidRDefault="00852987" w:rsidP="00852987">
      <w:proofErr w:type="spellStart"/>
      <w:r>
        <w:t>Evangelische</w:t>
      </w:r>
      <w:proofErr w:type="spellEnd"/>
      <w:r>
        <w:t xml:space="preserve"> </w:t>
      </w:r>
      <w:proofErr w:type="spellStart"/>
      <w:r>
        <w:t>Fachhochschule</w:t>
      </w:r>
      <w:proofErr w:type="spellEnd"/>
      <w:r>
        <w:t xml:space="preserve"> </w:t>
      </w:r>
      <w:proofErr w:type="spellStart"/>
      <w:r>
        <w:t>Rheinland-Westfalen-Lippe</w:t>
      </w:r>
      <w:proofErr w:type="spellEnd"/>
    </w:p>
    <w:p w:rsidR="00F60C99" w:rsidRDefault="00F60C99"/>
    <w:p w:rsidR="00852987" w:rsidRDefault="00852987">
      <w:r>
        <w:rPr>
          <w:rFonts w:hint="eastAsia"/>
        </w:rPr>
        <w:t>テレジア・デグナー</w:t>
      </w:r>
    </w:p>
    <w:p w:rsidR="00852987" w:rsidRPr="00852987" w:rsidRDefault="00852987">
      <w:pPr>
        <w:rPr>
          <w:rFonts w:ascii="ＭＳ ゴシック" w:eastAsia="ＭＳ ゴシック" w:hAnsi="ＭＳ ゴシック"/>
          <w:sz w:val="32"/>
          <w:szCs w:val="32"/>
        </w:rPr>
      </w:pPr>
      <w:r w:rsidRPr="00852987">
        <w:rPr>
          <w:rFonts w:ascii="ＭＳ ゴシック" w:eastAsia="ＭＳ ゴシック" w:hAnsi="ＭＳ ゴシック" w:hint="eastAsia"/>
          <w:sz w:val="32"/>
          <w:szCs w:val="32"/>
        </w:rPr>
        <w:t>障害の人権モデル</w:t>
      </w:r>
    </w:p>
    <w:p w:rsidR="00852987" w:rsidRDefault="00852987"/>
    <w:p w:rsidR="00D77707" w:rsidRDefault="00D77707" w:rsidP="00F463C9">
      <w:pPr>
        <w:ind w:firstLineChars="100" w:firstLine="210"/>
      </w:pPr>
      <w:r>
        <w:t>CRPD</w:t>
      </w:r>
      <w:r w:rsidR="00DB4E27">
        <w:rPr>
          <w:rFonts w:hint="eastAsia"/>
        </w:rPr>
        <w:t>（障害者権利条約）</w:t>
      </w:r>
      <w:r>
        <w:t>は最初から成功を収めてき</w:t>
      </w:r>
      <w:r w:rsidR="00F463C9">
        <w:t>た</w:t>
      </w:r>
      <w:r>
        <w:t>。</w:t>
      </w:r>
      <w:r w:rsidR="00F60C99">
        <w:rPr>
          <w:rFonts w:hint="eastAsia"/>
        </w:rPr>
        <w:t>すなわち</w:t>
      </w:r>
      <w:r>
        <w:t>国連の人権条約</w:t>
      </w:r>
      <w:r w:rsidR="00F60C99">
        <w:rPr>
          <w:rFonts w:hint="eastAsia"/>
        </w:rPr>
        <w:t>の中で、採択までの</w:t>
      </w:r>
      <w:r>
        <w:t>交渉</w:t>
      </w:r>
      <w:r w:rsidR="00DB4E27">
        <w:rPr>
          <w:rFonts w:hint="eastAsia"/>
        </w:rPr>
        <w:t>期間</w:t>
      </w:r>
      <w:r>
        <w:t>は</w:t>
      </w:r>
      <w:r w:rsidR="00DB4E27">
        <w:rPr>
          <w:rFonts w:hint="eastAsia"/>
        </w:rPr>
        <w:t>最短</w:t>
      </w:r>
      <w:r w:rsidR="00F463C9">
        <w:t>で</w:t>
      </w:r>
      <w:r w:rsidR="00953104">
        <w:rPr>
          <w:rStyle w:val="ac"/>
        </w:rPr>
        <w:footnoteReference w:id="1"/>
      </w:r>
      <w:r w:rsidR="00F60C99">
        <w:rPr>
          <w:rFonts w:hint="eastAsia"/>
        </w:rPr>
        <w:t>、</w:t>
      </w:r>
      <w:r>
        <w:t>批准記録は</w:t>
      </w:r>
      <w:r w:rsidR="00DB4E27">
        <w:rPr>
          <w:rFonts w:hint="eastAsia"/>
        </w:rPr>
        <w:t>秀逸である</w:t>
      </w:r>
      <w:r w:rsidR="00AC01D8">
        <w:rPr>
          <w:rStyle w:val="ac"/>
        </w:rPr>
        <w:footnoteReference w:id="2"/>
      </w:r>
      <w:r>
        <w:t>。</w:t>
      </w:r>
      <w:r w:rsidR="00F60C99">
        <w:rPr>
          <w:rFonts w:hint="eastAsia"/>
        </w:rPr>
        <w:t>CRPD</w:t>
      </w:r>
      <w:r>
        <w:t>は2007年3月に署名</w:t>
      </w:r>
      <w:r w:rsidR="00F60C99">
        <w:rPr>
          <w:rFonts w:hint="eastAsia"/>
        </w:rPr>
        <w:t>可能となり、</w:t>
      </w:r>
      <w:r>
        <w:t>20</w:t>
      </w:r>
      <w:r w:rsidR="00F60C99">
        <w:rPr>
          <w:rFonts w:hint="eastAsia"/>
        </w:rPr>
        <w:t>番目の</w:t>
      </w:r>
      <w:r>
        <w:t>国が批准した</w:t>
      </w:r>
      <w:r w:rsidR="00DB4E27">
        <w:rPr>
          <w:rFonts w:hint="eastAsia"/>
        </w:rPr>
        <w:t>後</w:t>
      </w:r>
      <w:r>
        <w:t>2008年5月3日に発効し</w:t>
      </w:r>
      <w:r w:rsidR="00F463C9">
        <w:t>た</w:t>
      </w:r>
      <w:r>
        <w:t>。わずか6年後に、151</w:t>
      </w:r>
      <w:r w:rsidR="00F60C99">
        <w:rPr>
          <w:rFonts w:hint="eastAsia"/>
        </w:rPr>
        <w:t>の国連加盟国</w:t>
      </w:r>
      <w:r w:rsidR="00953104">
        <w:rPr>
          <w:rStyle w:val="ac"/>
        </w:rPr>
        <w:footnoteReference w:id="3"/>
      </w:r>
      <w:r w:rsidR="00F60C99">
        <w:rPr>
          <w:rFonts w:hint="eastAsia"/>
        </w:rPr>
        <w:t>が</w:t>
      </w:r>
      <w:r>
        <w:t>締約国となった。</w:t>
      </w:r>
      <w:r w:rsidR="00F60C99">
        <w:rPr>
          <w:rFonts w:hint="eastAsia"/>
        </w:rPr>
        <w:t>CRPDを</w:t>
      </w:r>
      <w:r>
        <w:t>「</w:t>
      </w:r>
      <w:r w:rsidR="0007575F">
        <w:rPr>
          <w:rFonts w:hint="eastAsia"/>
        </w:rPr>
        <w:t>第一の</w:t>
      </w:r>
      <w:r>
        <w:t>」条約と呼</w:t>
      </w:r>
      <w:r w:rsidR="0007575F">
        <w:rPr>
          <w:rFonts w:hint="eastAsia"/>
        </w:rPr>
        <w:t>べる</w:t>
      </w:r>
      <w:r>
        <w:t>いくつかの理由が</w:t>
      </w:r>
      <w:r w:rsidR="00D015D9">
        <w:t>ある</w:t>
      </w:r>
      <w:r>
        <w:t>。</w:t>
      </w:r>
      <w:r w:rsidR="0007575F">
        <w:rPr>
          <w:rFonts w:hint="eastAsia"/>
        </w:rPr>
        <w:t>すなわち21世紀になって最初に、また1993年ウィーン人権会議後最初に、採択された人権条約であり、地域統合機関が加盟した最初の条約であり</w:t>
      </w:r>
      <w:r w:rsidR="00A96C57">
        <w:rPr>
          <w:rStyle w:val="ac"/>
        </w:rPr>
        <w:footnoteReference w:id="4"/>
      </w:r>
      <w:r w:rsidR="0007575F">
        <w:rPr>
          <w:rFonts w:hint="eastAsia"/>
        </w:rPr>
        <w:t>、国内監視</w:t>
      </w:r>
      <w:r w:rsidR="00DB4E27">
        <w:rPr>
          <w:rFonts w:hint="eastAsia"/>
        </w:rPr>
        <w:t>機構</w:t>
      </w:r>
      <w:r w:rsidR="00A00E30">
        <w:rPr>
          <w:rFonts w:hint="eastAsia"/>
        </w:rPr>
        <w:t>に</w:t>
      </w:r>
      <w:r w:rsidR="0007575F">
        <w:rPr>
          <w:rFonts w:hint="eastAsia"/>
        </w:rPr>
        <w:t>対象グループ</w:t>
      </w:r>
      <w:r w:rsidR="00A00E30">
        <w:rPr>
          <w:rFonts w:hint="eastAsia"/>
        </w:rPr>
        <w:t>を位置づけた</w:t>
      </w:r>
      <w:r w:rsidR="0007575F">
        <w:rPr>
          <w:rFonts w:hint="eastAsia"/>
        </w:rPr>
        <w:t>最初の条約である</w:t>
      </w:r>
      <w:r w:rsidR="00A96C57">
        <w:rPr>
          <w:rStyle w:val="ac"/>
        </w:rPr>
        <w:footnoteReference w:id="5"/>
      </w:r>
      <w:r w:rsidR="0007575F">
        <w:rPr>
          <w:rFonts w:hint="eastAsia"/>
        </w:rPr>
        <w:t>。</w:t>
      </w:r>
      <w:r>
        <w:t>8</w:t>
      </w:r>
      <w:r w:rsidR="00A96C57">
        <w:rPr>
          <w:rFonts w:hint="eastAsia"/>
        </w:rPr>
        <w:t>つ</w:t>
      </w:r>
      <w:r>
        <w:t>の姉妹条約</w:t>
      </w:r>
      <w:r w:rsidR="00DB4E27">
        <w:rPr>
          <w:rFonts w:hint="eastAsia"/>
        </w:rPr>
        <w:t>にはない</w:t>
      </w:r>
      <w:r>
        <w:t>国際協力</w:t>
      </w:r>
      <w:r w:rsidR="00A96C57">
        <w:rPr>
          <w:rFonts w:hint="eastAsia"/>
        </w:rPr>
        <w:t>の</w:t>
      </w:r>
      <w:r>
        <w:t>独立した</w:t>
      </w:r>
      <w:r w:rsidR="00A96C57">
        <w:rPr>
          <w:rFonts w:hint="eastAsia"/>
        </w:rPr>
        <w:t>条項</w:t>
      </w:r>
      <w:r w:rsidR="00A96C57">
        <w:rPr>
          <w:rStyle w:val="ac"/>
        </w:rPr>
        <w:footnoteReference w:id="6"/>
      </w:r>
      <w:r w:rsidR="00DB4E27">
        <w:rPr>
          <w:rFonts w:hint="eastAsia"/>
        </w:rPr>
        <w:t>をもつ</w:t>
      </w:r>
      <w:r>
        <w:t>。</w:t>
      </w:r>
    </w:p>
    <w:p w:rsidR="00D77707" w:rsidRDefault="00D77707" w:rsidP="00D77707">
      <w:r>
        <w:t xml:space="preserve"> </w:t>
      </w:r>
    </w:p>
    <w:p w:rsidR="00D77707" w:rsidRPr="0086583A" w:rsidRDefault="00D77707" w:rsidP="00D77707">
      <w:pPr>
        <w:rPr>
          <w:rFonts w:ascii="ＭＳ ゴシック" w:eastAsia="ＭＳ ゴシック" w:hAnsi="ＭＳ ゴシック"/>
          <w:sz w:val="24"/>
          <w:szCs w:val="24"/>
        </w:rPr>
      </w:pPr>
      <w:r w:rsidRPr="0086583A">
        <w:rPr>
          <w:rFonts w:ascii="ＭＳ ゴシック" w:eastAsia="ＭＳ ゴシック" w:hAnsi="ＭＳ ゴシック" w:hint="eastAsia"/>
          <w:sz w:val="24"/>
          <w:szCs w:val="24"/>
        </w:rPr>
        <w:t>障害者権利条約</w:t>
      </w:r>
      <w:r w:rsidR="00440FA5" w:rsidRPr="0086583A">
        <w:rPr>
          <w:rFonts w:ascii="ＭＳ ゴシック" w:eastAsia="ＭＳ ゴシック" w:hAnsi="ＭＳ ゴシック" w:hint="eastAsia"/>
          <w:sz w:val="24"/>
          <w:szCs w:val="24"/>
        </w:rPr>
        <w:t>の</w:t>
      </w:r>
      <w:r w:rsidRPr="0086583A">
        <w:rPr>
          <w:rFonts w:ascii="ＭＳ ゴシック" w:eastAsia="ＭＳ ゴシック" w:hAnsi="ＭＳ ゴシック" w:hint="eastAsia"/>
          <w:sz w:val="24"/>
          <w:szCs w:val="24"/>
        </w:rPr>
        <w:t>実施</w:t>
      </w:r>
      <w:r w:rsidR="00440FA5" w:rsidRPr="0086583A">
        <w:rPr>
          <w:rFonts w:ascii="ＭＳ ゴシック" w:eastAsia="ＭＳ ゴシック" w:hAnsi="ＭＳ ゴシック" w:hint="eastAsia"/>
          <w:sz w:val="24"/>
          <w:szCs w:val="24"/>
        </w:rPr>
        <w:t>の</w:t>
      </w:r>
      <w:r w:rsidRPr="0086583A">
        <w:rPr>
          <w:rFonts w:ascii="ＭＳ ゴシック" w:eastAsia="ＭＳ ゴシック" w:hAnsi="ＭＳ ゴシック" w:hint="eastAsia"/>
          <w:sz w:val="24"/>
          <w:szCs w:val="24"/>
        </w:rPr>
        <w:t>課題</w:t>
      </w:r>
    </w:p>
    <w:p w:rsidR="00D77707" w:rsidRDefault="00D77707" w:rsidP="00D77707"/>
    <w:p w:rsidR="00D77707" w:rsidRDefault="00D77707" w:rsidP="00A96C57">
      <w:pPr>
        <w:ind w:firstLineChars="100" w:firstLine="210"/>
      </w:pPr>
      <w:r>
        <w:rPr>
          <w:rFonts w:hint="eastAsia"/>
        </w:rPr>
        <w:t>私は</w:t>
      </w:r>
      <w:r>
        <w:t>CRPD委員会のメンバー</w:t>
      </w:r>
      <w:r w:rsidR="00A96C57">
        <w:rPr>
          <w:rStyle w:val="ac"/>
        </w:rPr>
        <w:footnoteReference w:id="7"/>
      </w:r>
      <w:r>
        <w:t>として、締約国の報告書</w:t>
      </w:r>
      <w:r w:rsidR="00A96C57">
        <w:rPr>
          <w:rStyle w:val="ac"/>
        </w:rPr>
        <w:footnoteReference w:id="8"/>
      </w:r>
      <w:r>
        <w:t>、個人</w:t>
      </w:r>
      <w:r w:rsidR="00A96C57">
        <w:rPr>
          <w:rFonts w:hint="eastAsia"/>
        </w:rPr>
        <w:t>からの訴え</w:t>
      </w:r>
      <w:r w:rsidR="00A96C57">
        <w:rPr>
          <w:rStyle w:val="ac"/>
        </w:rPr>
        <w:footnoteReference w:id="9"/>
      </w:r>
      <w:r>
        <w:t>、その他の</w:t>
      </w:r>
      <w:r w:rsidR="00A96C57">
        <w:rPr>
          <w:rFonts w:hint="eastAsia"/>
        </w:rPr>
        <w:t>調査</w:t>
      </w:r>
      <w:r w:rsidR="00A96C57">
        <w:rPr>
          <w:rStyle w:val="ac"/>
        </w:rPr>
        <w:footnoteReference w:id="10"/>
      </w:r>
      <w:r>
        <w:t>、および一般的意見の</w:t>
      </w:r>
      <w:r w:rsidR="00BF05FE">
        <w:rPr>
          <w:rFonts w:hint="eastAsia"/>
        </w:rPr>
        <w:t>検討</w:t>
      </w:r>
      <w:r>
        <w:t>に携わって</w:t>
      </w:r>
      <w:r w:rsidR="00D015D9">
        <w:t>いる</w:t>
      </w:r>
      <w:r>
        <w:t>。2014年10月3日現在、私達は19</w:t>
      </w:r>
      <w:r w:rsidR="00BF05FE">
        <w:rPr>
          <w:rFonts w:hint="eastAsia"/>
        </w:rPr>
        <w:t>カ国</w:t>
      </w:r>
      <w:r>
        <w:t>の報告書を検討し、8つの</w:t>
      </w:r>
      <w:r w:rsidR="00BF05FE">
        <w:rPr>
          <w:rFonts w:hint="eastAsia"/>
        </w:rPr>
        <w:t>個人通報について</w:t>
      </w:r>
      <w:r>
        <w:t>決定し、2つの一般的</w:t>
      </w:r>
      <w:r w:rsidR="00BF05FE">
        <w:rPr>
          <w:rFonts w:hint="eastAsia"/>
        </w:rPr>
        <w:t>意見を</w:t>
      </w:r>
      <w:r>
        <w:t>採択し</w:t>
      </w:r>
      <w:r w:rsidR="00F463C9">
        <w:t>た</w:t>
      </w:r>
      <w:r w:rsidR="00BF05FE">
        <w:rPr>
          <w:rStyle w:val="ac"/>
        </w:rPr>
        <w:footnoteReference w:id="11"/>
      </w:r>
      <w:r>
        <w:t>。</w:t>
      </w:r>
    </w:p>
    <w:p w:rsidR="00D77707" w:rsidRDefault="00D77707" w:rsidP="00D77707"/>
    <w:p w:rsidR="00852987" w:rsidRDefault="00D77707" w:rsidP="00F463C9">
      <w:pPr>
        <w:ind w:firstLineChars="100" w:firstLine="210"/>
      </w:pPr>
      <w:r>
        <w:t>CRPD委員会の作業状況</w:t>
      </w:r>
      <w:r w:rsidR="00BF05FE">
        <w:rPr>
          <w:rFonts w:hint="eastAsia"/>
        </w:rPr>
        <w:t>をふまえて</w:t>
      </w:r>
      <w:r>
        <w:t>、この新しい人権条約</w:t>
      </w:r>
      <w:r w:rsidR="00BF05FE">
        <w:rPr>
          <w:rFonts w:hint="eastAsia"/>
        </w:rPr>
        <w:t>の</w:t>
      </w:r>
      <w:r>
        <w:t>実施には多くの課題があると私は主張</w:t>
      </w:r>
      <w:r w:rsidR="00D015D9">
        <w:t>する</w:t>
      </w:r>
      <w:r>
        <w:t>。他の人権条約と同様に、CRPDは社会をより公正な</w:t>
      </w:r>
      <w:r w:rsidR="00BF05FE">
        <w:rPr>
          <w:rFonts w:hint="eastAsia"/>
        </w:rPr>
        <w:t>もの</w:t>
      </w:r>
      <w:r>
        <w:t>に変えることを目的</w:t>
      </w:r>
      <w:r>
        <w:lastRenderedPageBreak/>
        <w:t>とした</w:t>
      </w:r>
      <w:r w:rsidR="00BF05FE">
        <w:rPr>
          <w:rFonts w:hint="eastAsia"/>
        </w:rPr>
        <w:t>、ビジョンを持った</w:t>
      </w:r>
      <w:r>
        <w:t>法律</w:t>
      </w:r>
      <w:r w:rsidR="00F463C9">
        <w:t>である</w:t>
      </w:r>
      <w:r>
        <w:t>。しかし、ビジョンは一晩では達成でき</w:t>
      </w:r>
      <w:r w:rsidR="00D015D9">
        <w:t>ない</w:t>
      </w:r>
      <w:r>
        <w:t>。人権の実施は、いくつかの</w:t>
      </w:r>
      <w:r w:rsidR="00BF05FE">
        <w:rPr>
          <w:rFonts w:hint="eastAsia"/>
        </w:rPr>
        <w:t>主体と関わり、</w:t>
      </w:r>
      <w:r w:rsidR="00BF05FE">
        <w:t>多くの克服すべき</w:t>
      </w:r>
      <w:r w:rsidR="00BF05FE">
        <w:rPr>
          <w:rFonts w:hint="eastAsia"/>
        </w:rPr>
        <w:t>ハードル</w:t>
      </w:r>
      <w:r>
        <w:t>を伴うプロセス</w:t>
      </w:r>
      <w:r w:rsidR="00F463C9">
        <w:t>である</w:t>
      </w:r>
      <w:r>
        <w:t>。ただし、CRPDに固有のいくつかの課題が</w:t>
      </w:r>
      <w:r w:rsidR="00D015D9">
        <w:t>ある</w:t>
      </w:r>
      <w:r>
        <w:t>。明らかに、</w:t>
      </w:r>
      <w:r w:rsidR="0001144D">
        <w:rPr>
          <w:rFonts w:hint="eastAsia"/>
        </w:rPr>
        <w:t>1つは、</w:t>
      </w:r>
      <w:r>
        <w:t>政府から独立し、パリ原則（PP）に準拠し、市民社会団体、特に障害者団体（DPO）と共同で機能する国</w:t>
      </w:r>
      <w:r w:rsidR="0001144D">
        <w:rPr>
          <w:rFonts w:hint="eastAsia"/>
        </w:rPr>
        <w:t>内</w:t>
      </w:r>
      <w:r>
        <w:t>監視メカニズムを確立すること</w:t>
      </w:r>
      <w:r w:rsidR="00F463C9">
        <w:t>である</w:t>
      </w:r>
      <w:r>
        <w:rPr>
          <w:rFonts w:hint="eastAsia"/>
        </w:rPr>
        <w:t>。</w:t>
      </w:r>
      <w:r w:rsidR="0001144D">
        <w:rPr>
          <w:rFonts w:hint="eastAsia"/>
        </w:rPr>
        <w:t>パリ原則</w:t>
      </w:r>
      <w:r>
        <w:t>に準拠している国内人権機関は、</w:t>
      </w:r>
      <w:r w:rsidR="0001144D">
        <w:t>CRPD</w:t>
      </w:r>
      <w:r>
        <w:t>第33条（3）に従って独立した監視メカニズムとして指定されるのに最も適格な</w:t>
      </w:r>
      <w:r w:rsidR="0001144D">
        <w:rPr>
          <w:rFonts w:hint="eastAsia"/>
        </w:rPr>
        <w:t>機関</w:t>
      </w:r>
      <w:r>
        <w:t>であるように思われ</w:t>
      </w:r>
      <w:r w:rsidR="00D015D9">
        <w:t>る</w:t>
      </w:r>
      <w:r>
        <w:t>。しかし、</w:t>
      </w:r>
      <w:r w:rsidR="0001144D">
        <w:rPr>
          <w:rFonts w:hint="eastAsia"/>
        </w:rPr>
        <w:t>それ</w:t>
      </w:r>
      <w:r>
        <w:t>らは多くの場合、DPOとの良好な協力関係を築き、真の「</w:t>
      </w:r>
      <w:r w:rsidR="0001144D">
        <w:rPr>
          <w:rFonts w:hint="eastAsia"/>
        </w:rPr>
        <w:t>変革</w:t>
      </w:r>
      <w:r>
        <w:t>の主体」になる</w:t>
      </w:r>
      <w:r w:rsidR="0001144D">
        <w:rPr>
          <w:rFonts w:hint="eastAsia"/>
        </w:rPr>
        <w:t>ために</w:t>
      </w:r>
      <w:r>
        <w:t>学ぶ必要が</w:t>
      </w:r>
      <w:r w:rsidR="00D015D9">
        <w:t>ある</w:t>
      </w:r>
      <w:r w:rsidR="0001144D">
        <w:rPr>
          <w:rStyle w:val="ac"/>
        </w:rPr>
        <w:footnoteReference w:id="12"/>
      </w:r>
      <w:r>
        <w:t>。さらに、この条約は、従来の人権</w:t>
      </w:r>
      <w:r w:rsidR="0001144D">
        <w:rPr>
          <w:rFonts w:hint="eastAsia"/>
        </w:rPr>
        <w:t>の</w:t>
      </w:r>
      <w:r>
        <w:t>理論と法</w:t>
      </w:r>
      <w:r w:rsidR="00DB4E27">
        <w:rPr>
          <w:rFonts w:hint="eastAsia"/>
        </w:rPr>
        <w:t>学</w:t>
      </w:r>
      <w:r>
        <w:t>に新た</w:t>
      </w:r>
      <w:r w:rsidR="0001144D">
        <w:rPr>
          <w:rFonts w:hint="eastAsia"/>
        </w:rPr>
        <w:t>に</w:t>
      </w:r>
      <w:r>
        <w:t>挑戦</w:t>
      </w:r>
      <w:r w:rsidR="0001144D">
        <w:rPr>
          <w:rFonts w:hint="eastAsia"/>
        </w:rPr>
        <w:t>する</w:t>
      </w:r>
      <w:r>
        <w:t>多くの実質的な規定を</w:t>
      </w:r>
      <w:r w:rsidR="0001144D">
        <w:rPr>
          <w:rFonts w:hint="eastAsia"/>
        </w:rPr>
        <w:t>盛り込んで</w:t>
      </w:r>
      <w:r w:rsidR="00D015D9">
        <w:t>いる</w:t>
      </w:r>
      <w:r>
        <w:t>。最も</w:t>
      </w:r>
      <w:r w:rsidR="0001144D">
        <w:rPr>
          <w:rFonts w:hint="eastAsia"/>
        </w:rPr>
        <w:t>挑戦的</w:t>
      </w:r>
      <w:r>
        <w:t>なのは、法律の前で</w:t>
      </w:r>
      <w:r w:rsidR="0001144D">
        <w:rPr>
          <w:rFonts w:hint="eastAsia"/>
        </w:rPr>
        <w:t>平等な人として</w:t>
      </w:r>
      <w:r>
        <w:t>認められる権利（第12条）であり、続いて</w:t>
      </w:r>
      <w:r w:rsidR="0001144D">
        <w:rPr>
          <w:rFonts w:hint="eastAsia"/>
        </w:rPr>
        <w:t>自立した</w:t>
      </w:r>
      <w:r w:rsidR="00F86F78">
        <w:rPr>
          <w:rFonts w:hint="eastAsia"/>
        </w:rPr>
        <w:t>、地域での</w:t>
      </w:r>
      <w:r w:rsidR="0001144D">
        <w:rPr>
          <w:rFonts w:hint="eastAsia"/>
        </w:rPr>
        <w:t>生活の</w:t>
      </w:r>
      <w:r>
        <w:t>権利（第19条）である。しかし、</w:t>
      </w:r>
      <w:r w:rsidR="00F86F78">
        <w:t>インクルーシブ</w:t>
      </w:r>
      <w:r w:rsidR="00F86F78">
        <w:rPr>
          <w:rFonts w:hint="eastAsia"/>
        </w:rPr>
        <w:t>な</w:t>
      </w:r>
      <w:r w:rsidR="00F86F78">
        <w:t>教育の権利（第24条）</w:t>
      </w:r>
      <w:r w:rsidR="00F86F78">
        <w:rPr>
          <w:rFonts w:hint="eastAsia"/>
        </w:rPr>
        <w:t>はいうまでもなく</w:t>
      </w:r>
      <w:r w:rsidR="00F86F78">
        <w:t>、</w:t>
      </w:r>
      <w:r>
        <w:t>アク</w:t>
      </w:r>
      <w:r>
        <w:rPr>
          <w:rFonts w:hint="eastAsia"/>
        </w:rPr>
        <w:t>セシビリティ（第</w:t>
      </w:r>
      <w:r>
        <w:t>9条）と合理的配慮（第2条および第5条）に関連する締約国の義務は、同様に革命的</w:t>
      </w:r>
      <w:r w:rsidR="00F463C9">
        <w:t>である</w:t>
      </w:r>
      <w:r>
        <w:t>。</w:t>
      </w:r>
      <w:r w:rsidR="00F86F78">
        <w:t>いくつか</w:t>
      </w:r>
      <w:r>
        <w:t>の</w:t>
      </w:r>
      <w:r w:rsidR="00F86F78">
        <w:t>締約国</w:t>
      </w:r>
      <w:r>
        <w:t>報告を</w:t>
      </w:r>
      <w:r w:rsidR="00F86F78">
        <w:rPr>
          <w:rFonts w:hint="eastAsia"/>
        </w:rPr>
        <w:t>審査</w:t>
      </w:r>
      <w:r>
        <w:t>する過程での対話</w:t>
      </w:r>
      <w:r w:rsidR="00F86F78">
        <w:rPr>
          <w:rFonts w:hint="eastAsia"/>
        </w:rPr>
        <w:t>を通じて、</w:t>
      </w:r>
      <w:r>
        <w:t>CRPDのこれら</w:t>
      </w:r>
      <w:r w:rsidR="00F86F78">
        <w:rPr>
          <w:rFonts w:hint="eastAsia"/>
        </w:rPr>
        <w:t>や</w:t>
      </w:r>
      <w:r>
        <w:t>他の</w:t>
      </w:r>
      <w:r w:rsidR="00F86F78">
        <w:rPr>
          <w:rFonts w:hint="eastAsia"/>
        </w:rPr>
        <w:t>条項</w:t>
      </w:r>
      <w:r>
        <w:t>の下での</w:t>
      </w:r>
      <w:r w:rsidR="00F86F78">
        <w:rPr>
          <w:rFonts w:hint="eastAsia"/>
        </w:rPr>
        <w:t>国の</w:t>
      </w:r>
      <w:r>
        <w:t>義務の範囲および内容に関して</w:t>
      </w:r>
      <w:r w:rsidR="00DB4E27">
        <w:rPr>
          <w:rFonts w:hint="eastAsia"/>
        </w:rPr>
        <w:t>根</w:t>
      </w:r>
      <w:r>
        <w:t>深い誤解があること</w:t>
      </w:r>
      <w:r w:rsidR="00F86F78">
        <w:rPr>
          <w:rFonts w:hint="eastAsia"/>
        </w:rPr>
        <w:t>が分かった。</w:t>
      </w:r>
      <w:r>
        <w:t>多くの場合締約国は、CRPDに組み込まれている障害者政策および法律の重大な変化を理解していない</w:t>
      </w:r>
      <w:r w:rsidR="00DB4E27">
        <w:rPr>
          <w:rFonts w:hint="eastAsia"/>
        </w:rPr>
        <w:t>（と私には感じられる）</w:t>
      </w:r>
      <w:r>
        <w:t>。よく引用される</w:t>
      </w:r>
      <w:r w:rsidR="00F86F78">
        <w:t>障害のモデルに関</w:t>
      </w:r>
      <w:r w:rsidR="00F86F78">
        <w:rPr>
          <w:rFonts w:hint="eastAsia"/>
        </w:rPr>
        <w:t>する</w:t>
      </w:r>
      <w:r>
        <w:t>パラダイム</w:t>
      </w:r>
      <w:r w:rsidR="00F86F78">
        <w:rPr>
          <w:rFonts w:hint="eastAsia"/>
        </w:rPr>
        <w:t>転換</w:t>
      </w:r>
      <w:r w:rsidR="00DB4E27">
        <w:rPr>
          <w:rFonts w:hint="eastAsia"/>
        </w:rPr>
        <w:t>を理解するのは簡単ではない。</w:t>
      </w:r>
    </w:p>
    <w:p w:rsidR="00D77707" w:rsidRDefault="00D77707" w:rsidP="00F463C9">
      <w:pPr>
        <w:ind w:firstLineChars="100" w:firstLine="210"/>
      </w:pPr>
      <w:r>
        <w:rPr>
          <w:rFonts w:hint="eastAsia"/>
        </w:rPr>
        <w:t>障害</w:t>
      </w:r>
      <w:r w:rsidR="00DB4DB4">
        <w:rPr>
          <w:rFonts w:hint="eastAsia"/>
        </w:rPr>
        <w:t>学（d</w:t>
      </w:r>
      <w:r w:rsidR="00DB4DB4">
        <w:t>isability studies</w:t>
      </w:r>
      <w:r w:rsidR="00DB4DB4">
        <w:rPr>
          <w:rFonts w:hint="eastAsia"/>
        </w:rPr>
        <w:t>）</w:t>
      </w:r>
      <w:r>
        <w:rPr>
          <w:rFonts w:hint="eastAsia"/>
        </w:rPr>
        <w:t>は、私たちが</w:t>
      </w:r>
      <w:r w:rsidR="0094290E">
        <w:rPr>
          <w:rFonts w:hint="eastAsia"/>
        </w:rPr>
        <w:t>障害の医学モデル</w:t>
      </w:r>
      <w:r>
        <w:rPr>
          <w:rFonts w:hint="eastAsia"/>
        </w:rPr>
        <w:t>から社会モデルへの</w:t>
      </w:r>
      <w:r w:rsidR="0094290E">
        <w:rPr>
          <w:rFonts w:hint="eastAsia"/>
        </w:rPr>
        <w:t>転換</w:t>
      </w:r>
      <w:r>
        <w:rPr>
          <w:rFonts w:hint="eastAsia"/>
        </w:rPr>
        <w:t>と呼ぶものについての理論的背景を提供</w:t>
      </w:r>
      <w:r w:rsidR="00D015D9">
        <w:rPr>
          <w:rFonts w:hint="eastAsia"/>
        </w:rPr>
        <w:t>する</w:t>
      </w:r>
      <w:r>
        <w:rPr>
          <w:rFonts w:hint="eastAsia"/>
        </w:rPr>
        <w:t>。障害の社会モデルは、障害を社会的</w:t>
      </w:r>
      <w:r w:rsidR="0094290E">
        <w:rPr>
          <w:rFonts w:hint="eastAsia"/>
        </w:rPr>
        <w:t>な</w:t>
      </w:r>
      <w:r>
        <w:rPr>
          <w:rFonts w:hint="eastAsia"/>
        </w:rPr>
        <w:t>構成</w:t>
      </w:r>
      <w:r w:rsidR="0094290E">
        <w:rPr>
          <w:rFonts w:hint="eastAsia"/>
        </w:rPr>
        <w:t>概念</w:t>
      </w:r>
      <w:r>
        <w:rPr>
          <w:rFonts w:hint="eastAsia"/>
        </w:rPr>
        <w:t>と見なし、差別政策にお</w:t>
      </w:r>
      <w:r w:rsidR="0094290E">
        <w:rPr>
          <w:rFonts w:hint="eastAsia"/>
        </w:rPr>
        <w:t>ける障害の問題を</w:t>
      </w:r>
      <w:r>
        <w:rPr>
          <w:rFonts w:hint="eastAsia"/>
        </w:rPr>
        <w:t>個人の外側にある</w:t>
      </w:r>
      <w:r w:rsidR="0094290E">
        <w:rPr>
          <w:rFonts w:hint="eastAsia"/>
        </w:rPr>
        <w:t>とする</w:t>
      </w:r>
      <w:r>
        <w:rPr>
          <w:rFonts w:hint="eastAsia"/>
        </w:rPr>
        <w:t>。しかしながら、障害</w:t>
      </w:r>
      <w:r w:rsidR="00DB4DB4">
        <w:rPr>
          <w:rFonts w:hint="eastAsia"/>
        </w:rPr>
        <w:t>学</w:t>
      </w:r>
      <w:r>
        <w:rPr>
          <w:rFonts w:hint="eastAsia"/>
        </w:rPr>
        <w:t>の中では、障害の社会モデルは障害の医学モデルとほぼ同じくらい強く批判されてきた。障害の社会モデルの創設者の一人であるマイケル・オリバーは</w:t>
      </w:r>
      <w:r w:rsidR="0094290E">
        <w:rPr>
          <w:rFonts w:hint="eastAsia"/>
        </w:rPr>
        <w:t>最近</w:t>
      </w:r>
      <w:r>
        <w:rPr>
          <w:rFonts w:hint="eastAsia"/>
        </w:rPr>
        <w:t>、誰かが代替案を思いつくことができない限り、この批判を止める</w:t>
      </w:r>
      <w:r w:rsidR="0094290E">
        <w:rPr>
          <w:rFonts w:hint="eastAsia"/>
        </w:rPr>
        <w:t>よう</w:t>
      </w:r>
      <w:r>
        <w:rPr>
          <w:rFonts w:hint="eastAsia"/>
        </w:rPr>
        <w:t>求め</w:t>
      </w:r>
      <w:r w:rsidR="0094290E">
        <w:rPr>
          <w:rFonts w:hint="eastAsia"/>
        </w:rPr>
        <w:t>た</w:t>
      </w:r>
      <w:r w:rsidR="0094290E">
        <w:rPr>
          <w:rStyle w:val="ac"/>
        </w:rPr>
        <w:footnoteReference w:id="13"/>
      </w:r>
      <w:r>
        <w:rPr>
          <w:rFonts w:hint="eastAsia"/>
        </w:rPr>
        <w:t>。</w:t>
      </w:r>
      <w:r w:rsidR="0094290E">
        <w:rPr>
          <w:rFonts w:hint="eastAsia"/>
        </w:rPr>
        <w:t>私のCRPD理解は、この条約がその代替案</w:t>
      </w:r>
      <w:r w:rsidR="00DB4DB4">
        <w:rPr>
          <w:rFonts w:hint="eastAsia"/>
        </w:rPr>
        <w:t>、つまり障害の人権モデルを与えているというものである。</w:t>
      </w:r>
      <w:r>
        <w:rPr>
          <w:rFonts w:hint="eastAsia"/>
        </w:rPr>
        <w:t>それは決して障害の社会モデルに対する唯一の代替</w:t>
      </w:r>
      <w:r w:rsidR="00DB4DB4">
        <w:rPr>
          <w:rFonts w:hint="eastAsia"/>
        </w:rPr>
        <w:t>物</w:t>
      </w:r>
      <w:r>
        <w:rPr>
          <w:rFonts w:hint="eastAsia"/>
        </w:rPr>
        <w:t>では</w:t>
      </w:r>
      <w:r w:rsidR="00D015D9">
        <w:rPr>
          <w:rFonts w:hint="eastAsia"/>
        </w:rPr>
        <w:t>ない</w:t>
      </w:r>
      <w:r>
        <w:rPr>
          <w:rFonts w:hint="eastAsia"/>
        </w:rPr>
        <w:t>。多くの障害モデルが、障害</w:t>
      </w:r>
      <w:r w:rsidR="00DB4DB4">
        <w:rPr>
          <w:rFonts w:hint="eastAsia"/>
        </w:rPr>
        <w:t>学</w:t>
      </w:r>
      <w:r>
        <w:rPr>
          <w:rFonts w:hint="eastAsia"/>
        </w:rPr>
        <w:t>の内外で開発され、最近では</w:t>
      </w:r>
      <w:r w:rsidR="00DB4DB4">
        <w:rPr>
          <w:rFonts w:hint="eastAsia"/>
        </w:rPr>
        <w:t>ケイパビリティ</w:t>
      </w:r>
      <w:r>
        <w:rPr>
          <w:rFonts w:hint="eastAsia"/>
        </w:rPr>
        <w:t>アプローチモデル</w:t>
      </w:r>
      <w:r w:rsidR="00DB4DB4">
        <w:rPr>
          <w:rStyle w:val="ac"/>
        </w:rPr>
        <w:footnoteReference w:id="14"/>
      </w:r>
      <w:r>
        <w:t>や文化モデル</w:t>
      </w:r>
      <w:r w:rsidR="00DB4DB4">
        <w:rPr>
          <w:rStyle w:val="ac"/>
        </w:rPr>
        <w:footnoteReference w:id="15"/>
      </w:r>
      <w:r>
        <w:t>が</w:t>
      </w:r>
      <w:r w:rsidR="00D015D9">
        <w:t>ある</w:t>
      </w:r>
      <w:r>
        <w:t>。私の</w:t>
      </w:r>
      <w:r w:rsidR="008D45F8">
        <w:rPr>
          <w:rFonts w:hint="eastAsia"/>
        </w:rPr>
        <w:t>命題</w:t>
      </w:r>
      <w:r>
        <w:t>は、人権モデルは障害の社会モデル</w:t>
      </w:r>
      <w:r w:rsidR="008D45F8">
        <w:rPr>
          <w:rFonts w:hint="eastAsia"/>
        </w:rPr>
        <w:t>が進歩したもの</w:t>
      </w:r>
      <w:r>
        <w:t>であり、CRPDを実行するツール</w:t>
      </w:r>
      <w:r w:rsidR="008D45F8">
        <w:rPr>
          <w:rFonts w:hint="eastAsia"/>
        </w:rPr>
        <w:t>だ</w:t>
      </w:r>
      <w:r>
        <w:t>ということ</w:t>
      </w:r>
      <w:r w:rsidR="00F463C9">
        <w:t>である</w:t>
      </w:r>
      <w:r>
        <w:t>。しかし、CRPD加盟国のほとんどの締約国は、この新しい障害モデルを理解するには程遠い状態であり、依然として障害の医学モデルにとどまって</w:t>
      </w:r>
      <w:r w:rsidR="00D015D9">
        <w:t>いる</w:t>
      </w:r>
      <w:r>
        <w:t>。</w:t>
      </w:r>
    </w:p>
    <w:p w:rsidR="00D77707" w:rsidRDefault="00D77707" w:rsidP="00D77707">
      <w:r>
        <w:t xml:space="preserve"> </w:t>
      </w:r>
    </w:p>
    <w:p w:rsidR="00D77707" w:rsidRPr="0086583A" w:rsidRDefault="00D77707" w:rsidP="00D77707">
      <w:pPr>
        <w:rPr>
          <w:rFonts w:ascii="ＭＳ ゴシック" w:eastAsia="ＭＳ ゴシック" w:hAnsi="ＭＳ ゴシック"/>
          <w:sz w:val="24"/>
          <w:szCs w:val="24"/>
        </w:rPr>
      </w:pPr>
      <w:r w:rsidRPr="0086583A">
        <w:rPr>
          <w:rFonts w:ascii="ＭＳ ゴシック" w:eastAsia="ＭＳ ゴシック" w:hAnsi="ＭＳ ゴシック" w:hint="eastAsia"/>
          <w:sz w:val="24"/>
          <w:szCs w:val="24"/>
        </w:rPr>
        <w:lastRenderedPageBreak/>
        <w:t>障害の人権モデルを理解する</w:t>
      </w:r>
    </w:p>
    <w:p w:rsidR="00D77707" w:rsidRDefault="00D77707" w:rsidP="00D77707">
      <w:r>
        <w:t xml:space="preserve"> </w:t>
      </w:r>
    </w:p>
    <w:p w:rsidR="00D77707" w:rsidRDefault="008D45F8" w:rsidP="00BD121B">
      <w:pPr>
        <w:ind w:firstLineChars="100" w:firstLine="210"/>
      </w:pPr>
      <w:r>
        <w:rPr>
          <w:rFonts w:hint="eastAsia"/>
        </w:rPr>
        <w:t>明らかに</w:t>
      </w:r>
      <w:r w:rsidR="00D77707">
        <w:rPr>
          <w:rFonts w:hint="eastAsia"/>
        </w:rPr>
        <w:t>ほとんどの締約国は、</w:t>
      </w:r>
      <w:r w:rsidR="00D77707">
        <w:t>CRPDで採用されている障害のモデル</w:t>
      </w:r>
      <w:r w:rsidR="00F83A27">
        <w:rPr>
          <w:rFonts w:hint="eastAsia"/>
        </w:rPr>
        <w:t>の</w:t>
      </w:r>
      <w:r w:rsidR="00D77707">
        <w:t>理解に問題</w:t>
      </w:r>
      <w:r>
        <w:rPr>
          <w:rFonts w:hint="eastAsia"/>
        </w:rPr>
        <w:t>を抱えている。</w:t>
      </w:r>
      <w:r w:rsidR="00D77707">
        <w:t>いくつかの締約国の報告は、伝統的な医学モデルに</w:t>
      </w:r>
      <w:r>
        <w:rPr>
          <w:rFonts w:hint="eastAsia"/>
        </w:rPr>
        <w:t>沿った障害</w:t>
      </w:r>
      <w:r w:rsidR="00D77707">
        <w:t>の理解を</w:t>
      </w:r>
      <w:r>
        <w:rPr>
          <w:rFonts w:hint="eastAsia"/>
        </w:rPr>
        <w:t>示して</w:t>
      </w:r>
      <w:r w:rsidR="00D77707">
        <w:t>いる。しばしば述べられてきたように、このモデルは障害</w:t>
      </w:r>
      <w:r w:rsidR="00BD121B">
        <w:rPr>
          <w:rFonts w:hint="eastAsia"/>
        </w:rPr>
        <w:t>(</w:t>
      </w:r>
      <w:r w:rsidR="00BD121B">
        <w:t>disability)</w:t>
      </w:r>
      <w:r w:rsidR="00D77707">
        <w:t>を、治療、治癒、固定</w:t>
      </w:r>
      <w:r w:rsidR="00DB4E27">
        <w:rPr>
          <w:rFonts w:hint="eastAsia"/>
        </w:rPr>
        <w:t>させるべき</w:t>
      </w:r>
      <w:r w:rsidR="00D77707">
        <w:t>、あるいは少なくともリハビリテーション</w:t>
      </w:r>
      <w:r w:rsidR="00DB4E27">
        <w:rPr>
          <w:rFonts w:hint="eastAsia"/>
        </w:rPr>
        <w:t>の</w:t>
      </w:r>
      <w:r w:rsidR="00D77707">
        <w:t>必要</w:t>
      </w:r>
      <w:r w:rsidR="00DB4E27">
        <w:rPr>
          <w:rFonts w:hint="eastAsia"/>
        </w:rPr>
        <w:t>な、</w:t>
      </w:r>
      <w:r w:rsidR="00BD121B">
        <w:rPr>
          <w:rFonts w:hint="eastAsia"/>
        </w:rPr>
        <w:t>機能</w:t>
      </w:r>
      <w:r w:rsidR="00D77707">
        <w:t>障害</w:t>
      </w:r>
      <w:r w:rsidR="00BD121B">
        <w:rPr>
          <w:rFonts w:hint="eastAsia"/>
        </w:rPr>
        <w:t>（i</w:t>
      </w:r>
      <w:r w:rsidR="00BD121B">
        <w:t>mpairment</w:t>
      </w:r>
      <w:r w:rsidR="00BD121B">
        <w:rPr>
          <w:rFonts w:hint="eastAsia"/>
        </w:rPr>
        <w:t>）</w:t>
      </w:r>
      <w:r w:rsidR="00D77707">
        <w:t>と見</w:t>
      </w:r>
      <w:r w:rsidR="00BD121B">
        <w:rPr>
          <w:rFonts w:hint="eastAsia"/>
        </w:rPr>
        <w:t>る</w:t>
      </w:r>
      <w:r w:rsidR="00D77707">
        <w:t>。障害は、</w:t>
      </w:r>
      <w:r w:rsidR="00BD121B">
        <w:rPr>
          <w:rFonts w:hint="eastAsia"/>
        </w:rPr>
        <w:t>正常な</w:t>
      </w:r>
      <w:r w:rsidR="00D77707">
        <w:t>健康状態からの逸脱と見なされ</w:t>
      </w:r>
      <w:r w:rsidR="00D015D9">
        <w:t>る</w:t>
      </w:r>
      <w:r w:rsidR="00D77707">
        <w:t>。社会からの障害者の排除は個人的な問題と見なされ、排除の理由は</w:t>
      </w:r>
      <w:r w:rsidR="00D015D9">
        <w:t>機能障害</w:t>
      </w:r>
      <w:r w:rsidR="00BD121B">
        <w:rPr>
          <w:rFonts w:hint="eastAsia"/>
        </w:rPr>
        <w:t>とされる</w:t>
      </w:r>
      <w:r w:rsidR="00D77707">
        <w:t>。例</w:t>
      </w:r>
      <w:r w:rsidR="00BD121B">
        <w:rPr>
          <w:rFonts w:hint="eastAsia"/>
        </w:rPr>
        <w:t>えば、</w:t>
      </w:r>
      <w:r w:rsidR="00D77707">
        <w:t>ある人は</w:t>
      </w:r>
      <w:r w:rsidR="00BD121B">
        <w:rPr>
          <w:rFonts w:hint="eastAsia"/>
        </w:rPr>
        <w:t>盲ろう者なので、</w:t>
      </w:r>
      <w:r w:rsidR="00D77707">
        <w:t>政治的または文化的</w:t>
      </w:r>
      <w:r w:rsidR="00D77707">
        <w:rPr>
          <w:rFonts w:hint="eastAsia"/>
        </w:rPr>
        <w:t>生活に参加できないと</w:t>
      </w:r>
      <w:r w:rsidR="00BD121B">
        <w:rPr>
          <w:rFonts w:hint="eastAsia"/>
        </w:rPr>
        <w:t>みなされる。</w:t>
      </w:r>
      <w:r w:rsidR="00D77707">
        <w:rPr>
          <w:rFonts w:hint="eastAsia"/>
        </w:rPr>
        <w:t>医師、看護師、特殊教育教師、リハビリ専門家など</w:t>
      </w:r>
      <w:r w:rsidR="00424136">
        <w:rPr>
          <w:rFonts w:hint="eastAsia"/>
        </w:rPr>
        <w:t>支援・医療分野では、依然として</w:t>
      </w:r>
      <w:r w:rsidR="00D77707">
        <w:rPr>
          <w:rFonts w:hint="eastAsia"/>
        </w:rPr>
        <w:t>医</w:t>
      </w:r>
      <w:r w:rsidR="00424136">
        <w:rPr>
          <w:rFonts w:hint="eastAsia"/>
        </w:rPr>
        <w:t>学</w:t>
      </w:r>
      <w:r w:rsidR="00D77707">
        <w:rPr>
          <w:rFonts w:hint="eastAsia"/>
        </w:rPr>
        <w:t>モデルに従った障害</w:t>
      </w:r>
      <w:r w:rsidR="00424136">
        <w:rPr>
          <w:rFonts w:hint="eastAsia"/>
        </w:rPr>
        <w:t>が占領している。</w:t>
      </w:r>
      <w:r w:rsidR="00D77707">
        <w:rPr>
          <w:rFonts w:hint="eastAsia"/>
        </w:rPr>
        <w:t>障害の社会モデルの創設者の一人である</w:t>
      </w:r>
      <w:r w:rsidR="00424136">
        <w:rPr>
          <w:rFonts w:hint="eastAsia"/>
        </w:rPr>
        <w:t>マイケル・オリバー</w:t>
      </w:r>
      <w:r w:rsidR="00D77707">
        <w:t>は、これを個人</w:t>
      </w:r>
      <w:r w:rsidR="00F03E78">
        <w:rPr>
          <w:rFonts w:hint="eastAsia"/>
        </w:rPr>
        <w:t>化</w:t>
      </w:r>
      <w:r w:rsidR="00D77707">
        <w:t>と医</w:t>
      </w:r>
      <w:r w:rsidR="00F03E78">
        <w:rPr>
          <w:rFonts w:hint="eastAsia"/>
        </w:rPr>
        <w:t>学</w:t>
      </w:r>
      <w:r w:rsidR="00D77707">
        <w:t>化による障害のイデオロギー的構築、すなわち障害の政治と呼んで</w:t>
      </w:r>
      <w:r w:rsidR="00D015D9">
        <w:t>いる</w:t>
      </w:r>
      <w:r w:rsidR="00F03E78">
        <w:rPr>
          <w:rStyle w:val="ac"/>
        </w:rPr>
        <w:footnoteReference w:id="16"/>
      </w:r>
      <w:r w:rsidR="00D77707">
        <w:t>。障害の医</w:t>
      </w:r>
      <w:r w:rsidR="00F03E78">
        <w:rPr>
          <w:rFonts w:hint="eastAsia"/>
        </w:rPr>
        <w:t>学</w:t>
      </w:r>
      <w:r w:rsidR="00D77707">
        <w:t>モデルのもう一つの特徴はそれが</w:t>
      </w:r>
      <w:r w:rsidR="00F03E78">
        <w:rPr>
          <w:rFonts w:hint="eastAsia"/>
        </w:rPr>
        <w:t>次の2</w:t>
      </w:r>
      <w:r w:rsidR="00D77707">
        <w:t>つの仮定に基づくということ</w:t>
      </w:r>
      <w:r w:rsidR="00F463C9">
        <w:t>であ</w:t>
      </w:r>
      <w:r w:rsidR="00F03E78">
        <w:rPr>
          <w:rFonts w:hint="eastAsia"/>
        </w:rPr>
        <w:t>り、</w:t>
      </w:r>
      <w:r w:rsidR="00D77707">
        <w:t>それは人権に危険な影響を及ぼ</w:t>
      </w:r>
      <w:r w:rsidR="00D015D9">
        <w:t>す</w:t>
      </w:r>
      <w:r w:rsidR="00D77707">
        <w:t>。（1）障害者は避難所と福祉を必要</w:t>
      </w:r>
      <w:r w:rsidR="00F03E78">
        <w:rPr>
          <w:rFonts w:hint="eastAsia"/>
        </w:rPr>
        <w:t>とし</w:t>
      </w:r>
      <w:r w:rsidR="00D77707">
        <w:t>、（2）</w:t>
      </w:r>
      <w:r w:rsidR="00D015D9">
        <w:t>機能障害</w:t>
      </w:r>
      <w:r w:rsidR="00D77707">
        <w:t>は法的能力を脅かす可能性が</w:t>
      </w:r>
      <w:r w:rsidR="00D015D9">
        <w:t>ある</w:t>
      </w:r>
      <w:r w:rsidR="00D77707">
        <w:rPr>
          <w:rFonts w:hint="eastAsia"/>
        </w:rPr>
        <w:t>。最初の仮定は、特別な学校、生活</w:t>
      </w:r>
      <w:r w:rsidR="00F03E78">
        <w:rPr>
          <w:rFonts w:hint="eastAsia"/>
        </w:rPr>
        <w:t>施設</w:t>
      </w:r>
      <w:r w:rsidR="00D77707">
        <w:rPr>
          <w:rFonts w:hint="eastAsia"/>
        </w:rPr>
        <w:t>、または保護</w:t>
      </w:r>
      <w:r w:rsidR="00F03E78">
        <w:rPr>
          <w:rFonts w:hint="eastAsia"/>
        </w:rPr>
        <w:t>作業所</w:t>
      </w:r>
      <w:r w:rsidR="00D77707">
        <w:rPr>
          <w:rFonts w:hint="eastAsia"/>
        </w:rPr>
        <w:t>など、障害者用の隔離された施設を正当化</w:t>
      </w:r>
      <w:r w:rsidR="00D015D9">
        <w:rPr>
          <w:rFonts w:hint="eastAsia"/>
        </w:rPr>
        <w:t>する</w:t>
      </w:r>
      <w:r w:rsidR="00D77707">
        <w:rPr>
          <w:rFonts w:hint="eastAsia"/>
        </w:rPr>
        <w:t>。第</w:t>
      </w:r>
      <w:r w:rsidR="00F03E78">
        <w:rPr>
          <w:rFonts w:hint="eastAsia"/>
        </w:rPr>
        <w:t>2</w:t>
      </w:r>
      <w:r w:rsidR="00D77707">
        <w:rPr>
          <w:rFonts w:hint="eastAsia"/>
        </w:rPr>
        <w:t>の仮定は、障害</w:t>
      </w:r>
      <w:r w:rsidR="002B17E6">
        <w:rPr>
          <w:rFonts w:hint="eastAsia"/>
        </w:rPr>
        <w:t>を</w:t>
      </w:r>
      <w:r w:rsidR="00D77707">
        <w:rPr>
          <w:rFonts w:hint="eastAsia"/>
        </w:rPr>
        <w:t>無能</w:t>
      </w:r>
      <w:r w:rsidR="002B17E6">
        <w:rPr>
          <w:rFonts w:hint="eastAsia"/>
        </w:rPr>
        <w:t>とする</w:t>
      </w:r>
      <w:r w:rsidR="00D77707">
        <w:rPr>
          <w:rFonts w:hint="eastAsia"/>
        </w:rPr>
        <w:t>アプローチをとる精神保健法と後見法の創設につながった</w:t>
      </w:r>
      <w:r w:rsidR="002B17E6">
        <w:rPr>
          <w:rStyle w:val="ac"/>
        </w:rPr>
        <w:footnoteReference w:id="17"/>
      </w:r>
      <w:r w:rsidR="00D77707">
        <w:rPr>
          <w:rFonts w:hint="eastAsia"/>
        </w:rPr>
        <w:t>。</w:t>
      </w:r>
      <w:r w:rsidR="005E2088" w:rsidRPr="005E2088">
        <w:t>CRPDの交渉中に</w:t>
      </w:r>
      <w:r w:rsidR="005E2088">
        <w:rPr>
          <w:rFonts w:hint="eastAsia"/>
        </w:rPr>
        <w:t>は</w:t>
      </w:r>
      <w:r w:rsidR="005E2088" w:rsidRPr="005E2088">
        <w:t>、医</w:t>
      </w:r>
      <w:r w:rsidR="005E2088">
        <w:rPr>
          <w:rFonts w:hint="eastAsia"/>
        </w:rPr>
        <w:t>学</w:t>
      </w:r>
      <w:r w:rsidR="005E2088" w:rsidRPr="005E2088">
        <w:t>モデルは抑</w:t>
      </w:r>
      <w:r w:rsidR="00DB4E27">
        <w:rPr>
          <w:rFonts w:hint="eastAsia"/>
        </w:rPr>
        <w:t>制</w:t>
      </w:r>
      <w:r w:rsidR="005E2088" w:rsidRPr="005E2088">
        <w:t>力として役立</w:t>
      </w:r>
      <w:r w:rsidR="005E2088">
        <w:rPr>
          <w:rFonts w:hint="eastAsia"/>
        </w:rPr>
        <w:t>った</w:t>
      </w:r>
      <w:r w:rsidR="005E2088" w:rsidRPr="005E2088">
        <w:t>。</w:t>
      </w:r>
      <w:r w:rsidR="00D77707">
        <w:rPr>
          <w:rFonts w:hint="eastAsia"/>
        </w:rPr>
        <w:t>条約の</w:t>
      </w:r>
      <w:r w:rsidR="005E2088">
        <w:rPr>
          <w:rFonts w:hint="eastAsia"/>
        </w:rPr>
        <w:t>テキストを</w:t>
      </w:r>
      <w:r w:rsidR="00D77707">
        <w:rPr>
          <w:rFonts w:hint="eastAsia"/>
        </w:rPr>
        <w:t>起草する</w:t>
      </w:r>
      <w:r w:rsidR="005E2088">
        <w:rPr>
          <w:rFonts w:hint="eastAsia"/>
        </w:rPr>
        <w:t>際に、どの方向に進むかについての関係者</w:t>
      </w:r>
      <w:r w:rsidR="00D77707">
        <w:rPr>
          <w:rFonts w:hint="eastAsia"/>
        </w:rPr>
        <w:t>の意見</w:t>
      </w:r>
      <w:r w:rsidR="005E2088">
        <w:rPr>
          <w:rFonts w:hint="eastAsia"/>
        </w:rPr>
        <w:t>はしばしば割れたが、</w:t>
      </w:r>
      <w:r w:rsidR="00D77707">
        <w:rPr>
          <w:rFonts w:hint="eastAsia"/>
        </w:rPr>
        <w:t>障害の医学的モデルは間違いなく正しい道筋ではないという全体的合意があ</w:t>
      </w:r>
      <w:r w:rsidR="005E2088">
        <w:rPr>
          <w:rFonts w:hint="eastAsia"/>
        </w:rPr>
        <w:t>った</w:t>
      </w:r>
      <w:r w:rsidR="005E2088">
        <w:rPr>
          <w:rStyle w:val="ac"/>
        </w:rPr>
        <w:footnoteReference w:id="18"/>
      </w:r>
      <w:r w:rsidR="00D77707">
        <w:rPr>
          <w:rFonts w:hint="eastAsia"/>
        </w:rPr>
        <w:t>。</w:t>
      </w:r>
      <w:r w:rsidR="005E2088">
        <w:rPr>
          <w:rFonts w:hint="eastAsia"/>
        </w:rPr>
        <w:t>むしろ、障害の社会モデルは</w:t>
      </w:r>
      <w:r w:rsidR="00D77707">
        <w:rPr>
          <w:rFonts w:hint="eastAsia"/>
        </w:rPr>
        <w:t>条約の哲学的</w:t>
      </w:r>
      <w:r w:rsidR="005E2088">
        <w:rPr>
          <w:rFonts w:hint="eastAsia"/>
        </w:rPr>
        <w:t>基礎として想定されていた。</w:t>
      </w:r>
      <w:r w:rsidR="00D77707">
        <w:rPr>
          <w:rFonts w:hint="eastAsia"/>
        </w:rPr>
        <w:t>医学モデルから社会モデルへのパラダイムシフトはしばしば</w:t>
      </w:r>
      <w:r w:rsidR="00D77707">
        <w:t>CRPDの主な成果として述べられてきた。し</w:t>
      </w:r>
      <w:r w:rsidR="00D77707">
        <w:rPr>
          <w:rFonts w:hint="eastAsia"/>
        </w:rPr>
        <w:t>かし、</w:t>
      </w:r>
      <w:r w:rsidR="004E25BB">
        <w:rPr>
          <w:rFonts w:hint="eastAsia"/>
        </w:rPr>
        <w:t>障害の社会モデルが</w:t>
      </w:r>
      <w:r w:rsidR="00D77707">
        <w:rPr>
          <w:rFonts w:hint="eastAsia"/>
        </w:rPr>
        <w:t>交渉の過程で</w:t>
      </w:r>
      <w:r w:rsidR="004E25BB">
        <w:rPr>
          <w:rFonts w:hint="eastAsia"/>
        </w:rPr>
        <w:t>の</w:t>
      </w:r>
      <w:r w:rsidR="00D77707">
        <w:rPr>
          <w:rFonts w:hint="eastAsia"/>
        </w:rPr>
        <w:t>一般的な参照パラダイムであ</w:t>
      </w:r>
      <w:r w:rsidR="004E25BB">
        <w:rPr>
          <w:rFonts w:hint="eastAsia"/>
        </w:rPr>
        <w:t>った</w:t>
      </w:r>
      <w:r w:rsidR="00D77707">
        <w:rPr>
          <w:rFonts w:hint="eastAsia"/>
        </w:rPr>
        <w:t>ことは事実</w:t>
      </w:r>
      <w:r w:rsidR="004E25BB">
        <w:rPr>
          <w:rFonts w:hint="eastAsia"/>
        </w:rPr>
        <w:t>だ</w:t>
      </w:r>
      <w:r w:rsidR="00D77707">
        <w:rPr>
          <w:rFonts w:hint="eastAsia"/>
        </w:rPr>
        <w:t>が、</w:t>
      </w:r>
      <w:r w:rsidR="00D77707">
        <w:t>CRPDは障害の社会モデルを超えて、障害の人権モデルを</w:t>
      </w:r>
      <w:r w:rsidR="00DB4E27">
        <w:rPr>
          <w:rFonts w:hint="eastAsia"/>
        </w:rPr>
        <w:t>法典</w:t>
      </w:r>
      <w:r w:rsidR="004E25BB">
        <w:rPr>
          <w:rFonts w:hint="eastAsia"/>
        </w:rPr>
        <w:t>化</w:t>
      </w:r>
      <w:r w:rsidR="00D77707">
        <w:t>し</w:t>
      </w:r>
      <w:r w:rsidR="003F0BF3">
        <w:rPr>
          <w:rFonts w:hint="eastAsia"/>
        </w:rPr>
        <w:t>た</w:t>
      </w:r>
      <w:r w:rsidR="00D77707">
        <w:t>と</w:t>
      </w:r>
      <w:r w:rsidR="004E25BB">
        <w:rPr>
          <w:rFonts w:hint="eastAsia"/>
        </w:rPr>
        <w:t>私は理解する。</w:t>
      </w:r>
    </w:p>
    <w:p w:rsidR="00D77707" w:rsidRDefault="00D77707" w:rsidP="00F463C9">
      <w:pPr>
        <w:ind w:firstLineChars="100" w:firstLine="210"/>
      </w:pPr>
      <w:r>
        <w:rPr>
          <w:rFonts w:hint="eastAsia"/>
        </w:rPr>
        <w:t>障害の社会モデルは、</w:t>
      </w:r>
      <w:r w:rsidR="004E25BB">
        <w:rPr>
          <w:rFonts w:hint="eastAsia"/>
        </w:rPr>
        <w:t>障害を、</w:t>
      </w:r>
      <w:r>
        <w:rPr>
          <w:rFonts w:hint="eastAsia"/>
        </w:rPr>
        <w:t>差別と抑圧を通して</w:t>
      </w:r>
      <w:r w:rsidR="004E25BB">
        <w:rPr>
          <w:rFonts w:hint="eastAsia"/>
        </w:rPr>
        <w:t>形成され</w:t>
      </w:r>
      <w:r w:rsidR="00C0794A">
        <w:rPr>
          <w:rFonts w:hint="eastAsia"/>
        </w:rPr>
        <w:t>る</w:t>
      </w:r>
      <w:r>
        <w:rPr>
          <w:rFonts w:hint="eastAsia"/>
        </w:rPr>
        <w:t>社会的構成</w:t>
      </w:r>
      <w:r w:rsidR="004E25BB">
        <w:rPr>
          <w:rFonts w:hint="eastAsia"/>
        </w:rPr>
        <w:t>物</w:t>
      </w:r>
      <w:r>
        <w:rPr>
          <w:rFonts w:hint="eastAsia"/>
        </w:rPr>
        <w:t>と説明</w:t>
      </w:r>
      <w:r w:rsidR="004E25BB">
        <w:rPr>
          <w:rFonts w:hint="eastAsia"/>
        </w:rPr>
        <w:t>す</w:t>
      </w:r>
      <w:r>
        <w:rPr>
          <w:rFonts w:hint="eastAsia"/>
        </w:rPr>
        <w:t>る。その焦点は個人ではなく社会</w:t>
      </w:r>
      <w:r w:rsidR="003F0BF3">
        <w:rPr>
          <w:rFonts w:hint="eastAsia"/>
        </w:rPr>
        <w:t>であ</w:t>
      </w:r>
      <w:r w:rsidR="00C0794A">
        <w:rPr>
          <w:rFonts w:hint="eastAsia"/>
        </w:rPr>
        <w:t>る</w:t>
      </w:r>
      <w:r>
        <w:rPr>
          <w:rFonts w:hint="eastAsia"/>
        </w:rPr>
        <w:t>。障害は人間の多様性の連続の中の単なる違いと見なされ</w:t>
      </w:r>
      <w:r w:rsidR="00D015D9">
        <w:rPr>
          <w:rFonts w:hint="eastAsia"/>
        </w:rPr>
        <w:t>る</w:t>
      </w:r>
      <w:r>
        <w:rPr>
          <w:rFonts w:hint="eastAsia"/>
        </w:rPr>
        <w:t>。社会モデルは</w:t>
      </w:r>
      <w:r w:rsidR="00C0794A">
        <w:rPr>
          <w:rFonts w:hint="eastAsia"/>
        </w:rPr>
        <w:t>機能</w:t>
      </w:r>
      <w:r>
        <w:rPr>
          <w:rFonts w:hint="eastAsia"/>
        </w:rPr>
        <w:t>障害と障害を区別</w:t>
      </w:r>
      <w:r w:rsidR="00D015D9">
        <w:rPr>
          <w:rFonts w:hint="eastAsia"/>
        </w:rPr>
        <w:t>する</w:t>
      </w:r>
      <w:r>
        <w:rPr>
          <w:rFonts w:hint="eastAsia"/>
        </w:rPr>
        <w:t>。</w:t>
      </w:r>
      <w:r w:rsidR="00C0794A">
        <w:rPr>
          <w:rFonts w:hint="eastAsia"/>
        </w:rPr>
        <w:t>前者</w:t>
      </w:r>
      <w:r>
        <w:t>は身体や心の状態に</w:t>
      </w:r>
      <w:r w:rsidR="00C0794A">
        <w:rPr>
          <w:rFonts w:hint="eastAsia"/>
        </w:rPr>
        <w:t>関係するが</w:t>
      </w:r>
      <w:r>
        <w:t>、</w:t>
      </w:r>
      <w:r w:rsidR="00C0794A">
        <w:rPr>
          <w:rFonts w:hint="eastAsia"/>
        </w:rPr>
        <w:t>後者</w:t>
      </w:r>
      <w:r>
        <w:t>は環境と社会がその</w:t>
      </w:r>
      <w:r w:rsidR="00C0794A">
        <w:rPr>
          <w:rFonts w:hint="eastAsia"/>
        </w:rPr>
        <w:t>機能</w:t>
      </w:r>
      <w:r>
        <w:t>障害に対応</w:t>
      </w:r>
      <w:r w:rsidR="00C0794A">
        <w:rPr>
          <w:rFonts w:hint="eastAsia"/>
        </w:rPr>
        <w:t>した</w:t>
      </w:r>
      <w:r>
        <w:t>結果</w:t>
      </w:r>
      <w:r w:rsidR="00F463C9">
        <w:t>である</w:t>
      </w:r>
      <w:r>
        <w:t>。障害者</w:t>
      </w:r>
      <w:r w:rsidR="00C0794A">
        <w:rPr>
          <w:rFonts w:hint="eastAsia"/>
        </w:rPr>
        <w:t>の</w:t>
      </w:r>
      <w:r>
        <w:t>社会から</w:t>
      </w:r>
      <w:r w:rsidR="00C0794A">
        <w:rPr>
          <w:rFonts w:hint="eastAsia"/>
        </w:rPr>
        <w:t>の</w:t>
      </w:r>
      <w:r>
        <w:t>排除は、障壁と差別の結果として政治的に分析され</w:t>
      </w:r>
      <w:r w:rsidR="00D015D9">
        <w:t>る</w:t>
      </w:r>
      <w:r>
        <w:t>。</w:t>
      </w:r>
      <w:r w:rsidR="00C0794A">
        <w:rPr>
          <w:rFonts w:hint="eastAsia"/>
        </w:rPr>
        <w:t>例えば、投票</w:t>
      </w:r>
      <w:r>
        <w:t>用の資料が点字で作成されていないか、候補者に関する情報が手話または代替的なコミュニケーションを通じて提供されていないため</w:t>
      </w:r>
      <w:r>
        <w:rPr>
          <w:rFonts w:hint="eastAsia"/>
        </w:rPr>
        <w:t>、</w:t>
      </w:r>
      <w:r w:rsidR="00C0794A">
        <w:rPr>
          <w:rFonts w:hint="eastAsia"/>
        </w:rPr>
        <w:t>盲ろう者が</w:t>
      </w:r>
      <w:r>
        <w:rPr>
          <w:rFonts w:hint="eastAsia"/>
        </w:rPr>
        <w:t>政治参加から除外され</w:t>
      </w:r>
      <w:r w:rsidR="00D015D9">
        <w:rPr>
          <w:rFonts w:hint="eastAsia"/>
        </w:rPr>
        <w:t>る</w:t>
      </w:r>
      <w:r>
        <w:rPr>
          <w:rFonts w:hint="eastAsia"/>
        </w:rPr>
        <w:t>。</w:t>
      </w:r>
      <w:bookmarkStart w:id="1" w:name="_Hlk15490361"/>
      <w:r>
        <w:rPr>
          <w:rFonts w:hint="eastAsia"/>
        </w:rPr>
        <w:t>盲ろう者</w:t>
      </w:r>
      <w:bookmarkEnd w:id="1"/>
      <w:r w:rsidR="00F26150">
        <w:rPr>
          <w:rFonts w:hint="eastAsia"/>
        </w:rPr>
        <w:t>が雇用以外の</w:t>
      </w:r>
      <w:r>
        <w:rPr>
          <w:rFonts w:hint="eastAsia"/>
        </w:rPr>
        <w:t>演劇、映画館、その他の文化的生活の場所での通訳者の権利を否定され、社会</w:t>
      </w:r>
      <w:r w:rsidR="00F26150">
        <w:rPr>
          <w:rFonts w:hint="eastAsia"/>
        </w:rPr>
        <w:t>で</w:t>
      </w:r>
      <w:r>
        <w:rPr>
          <w:rFonts w:hint="eastAsia"/>
        </w:rPr>
        <w:t>の文化的参加から除外され</w:t>
      </w:r>
      <w:r w:rsidR="00D015D9">
        <w:rPr>
          <w:rFonts w:hint="eastAsia"/>
        </w:rPr>
        <w:t>る</w:t>
      </w:r>
      <w:r>
        <w:rPr>
          <w:rFonts w:hint="eastAsia"/>
        </w:rPr>
        <w:t>。盲ろ</w:t>
      </w:r>
      <w:r>
        <w:rPr>
          <w:rFonts w:hint="eastAsia"/>
        </w:rPr>
        <w:lastRenderedPageBreak/>
        <w:t>う者はテレビ、劇場、映画業界で俳優や女優として認められていないため、文化的な生活の中</w:t>
      </w:r>
      <w:r w:rsidR="003F0BF3">
        <w:rPr>
          <w:rFonts w:hint="eastAsia"/>
        </w:rPr>
        <w:t>に現れることは</w:t>
      </w:r>
      <w:r w:rsidR="00D015D9">
        <w:rPr>
          <w:rFonts w:hint="eastAsia"/>
        </w:rPr>
        <w:t>ない</w:t>
      </w:r>
      <w:r>
        <w:rPr>
          <w:rFonts w:hint="eastAsia"/>
        </w:rPr>
        <w:t>。</w:t>
      </w:r>
    </w:p>
    <w:p w:rsidR="00D77707" w:rsidRDefault="00D77707" w:rsidP="00F463C9">
      <w:pPr>
        <w:ind w:firstLineChars="100" w:firstLine="210"/>
      </w:pPr>
      <w:r>
        <w:rPr>
          <w:rFonts w:hint="eastAsia"/>
        </w:rPr>
        <w:t>障害の社会モデル</w:t>
      </w:r>
      <w:r w:rsidR="00D53FBE">
        <w:rPr>
          <w:rFonts w:hint="eastAsia"/>
        </w:rPr>
        <w:t>それ自体</w:t>
      </w:r>
      <w:r>
        <w:rPr>
          <w:rFonts w:hint="eastAsia"/>
        </w:rPr>
        <w:t>は、福祉プログラムではなく差別禁止法に焦点を当てた、障害への権利に基づくアプローチの発見的な</w:t>
      </w:r>
      <w:r w:rsidR="00D53FBE">
        <w:rPr>
          <w:rFonts w:hint="eastAsia"/>
        </w:rPr>
        <w:t>（問題発見を助ける）</w:t>
      </w:r>
      <w:r>
        <w:rPr>
          <w:rFonts w:hint="eastAsia"/>
        </w:rPr>
        <w:t>試みである。このモデルの科学的背景と理論的枠組みは、障害学</w:t>
      </w:r>
      <w:r>
        <w:t xml:space="preserve"> - 特殊教育やリハビリテーション科学などの障害業界の伝統的な学問分野から脱却した学際的な思考の学派 - </w:t>
      </w:r>
      <w:r w:rsidR="00F463C9">
        <w:t>である</w:t>
      </w:r>
      <w:r>
        <w:t>。</w:t>
      </w:r>
    </w:p>
    <w:p w:rsidR="00D77707" w:rsidRDefault="00D77707" w:rsidP="00D77707"/>
    <w:p w:rsidR="00DC7C76" w:rsidRDefault="00D77707" w:rsidP="00F463C9">
      <w:pPr>
        <w:ind w:firstLineChars="100" w:firstLine="210"/>
      </w:pPr>
      <w:r>
        <w:rPr>
          <w:rFonts w:hint="eastAsia"/>
        </w:rPr>
        <w:t>さて、障害の社会モデルと人権モデルの違いは何か、そしてなぜ</w:t>
      </w:r>
      <w:r>
        <w:t>CRPDが後者の</w:t>
      </w:r>
      <w:r w:rsidR="003F0BF3">
        <w:rPr>
          <w:rFonts w:hint="eastAsia"/>
        </w:rPr>
        <w:t>表明</w:t>
      </w:r>
      <w:r w:rsidR="00DC7C76">
        <w:rPr>
          <w:rFonts w:hint="eastAsia"/>
        </w:rPr>
        <w:t>と言えるのか</w:t>
      </w:r>
      <w:r>
        <w:t>？</w:t>
      </w:r>
    </w:p>
    <w:p w:rsidR="00D77707" w:rsidRDefault="00D77707" w:rsidP="00F463C9">
      <w:pPr>
        <w:ind w:firstLineChars="100" w:firstLine="210"/>
      </w:pPr>
      <w:r>
        <w:t>私は用語の所有権を主張し</w:t>
      </w:r>
      <w:r w:rsidR="00D015D9">
        <w:t>ない</w:t>
      </w:r>
      <w:r>
        <w:t>が、</w:t>
      </w:r>
      <w:r w:rsidR="00DC7C76">
        <w:t>障害の人権モデル</w:t>
      </w:r>
      <w:r w:rsidR="00DC7C76">
        <w:rPr>
          <w:rFonts w:hint="eastAsia"/>
        </w:rPr>
        <w:t>は、</w:t>
      </w:r>
      <w:r>
        <w:t>1999年から2000年にかけて私が</w:t>
      </w:r>
      <w:r w:rsidR="00DC7C76">
        <w:rPr>
          <w:rFonts w:hint="eastAsia"/>
        </w:rPr>
        <w:t>ジェラード・クイン</w:t>
      </w:r>
      <w:r>
        <w:t>と一緒に書いた国際</w:t>
      </w:r>
      <w:r w:rsidR="00DC7C76">
        <w:rPr>
          <w:rFonts w:hint="eastAsia"/>
        </w:rPr>
        <w:t>・</w:t>
      </w:r>
      <w:r>
        <w:t>比較障害法</w:t>
      </w:r>
      <w:r w:rsidR="00DC7C76">
        <w:rPr>
          <w:rFonts w:hint="eastAsia"/>
        </w:rPr>
        <w:t>改革</w:t>
      </w:r>
      <w:r>
        <w:t>に関する</w:t>
      </w:r>
      <w:r w:rsidR="00DC7C76">
        <w:rPr>
          <w:rFonts w:hint="eastAsia"/>
        </w:rPr>
        <w:t>論文</w:t>
      </w:r>
      <w:r w:rsidR="00DC7C76">
        <w:rPr>
          <w:rStyle w:val="ac"/>
        </w:rPr>
        <w:footnoteReference w:id="19"/>
      </w:r>
      <w:r>
        <w:t>と私たちが</w:t>
      </w:r>
      <w:r w:rsidR="00DC7C76">
        <w:t>2001</w:t>
      </w:r>
      <w:r w:rsidR="00DC7C76">
        <w:rPr>
          <w:rFonts w:hint="eastAsia"/>
        </w:rPr>
        <w:t>年に</w:t>
      </w:r>
      <w:r>
        <w:t>着手したCRPDの背景研究に現れ</w:t>
      </w:r>
      <w:r w:rsidR="00DC7C76">
        <w:rPr>
          <w:rFonts w:hint="eastAsia"/>
        </w:rPr>
        <w:t>てい</w:t>
      </w:r>
      <w:r w:rsidR="00F463C9">
        <w:t>た</w:t>
      </w:r>
      <w:r>
        <w:t>。「変革のための道徳的権威」という章で、私たちはこう書いて</w:t>
      </w:r>
      <w:r w:rsidR="00D015D9">
        <w:t>いる</w:t>
      </w:r>
      <w:r>
        <w:t>。</w:t>
      </w:r>
    </w:p>
    <w:p w:rsidR="00D77707" w:rsidRDefault="00D77707" w:rsidP="00DC7C76">
      <w:pPr>
        <w:ind w:leftChars="405" w:left="850" w:firstLineChars="100" w:firstLine="210"/>
      </w:pPr>
      <w:r>
        <w:rPr>
          <w:rFonts w:hint="eastAsia"/>
        </w:rPr>
        <w:t>人間の尊厳は人権の</w:t>
      </w:r>
      <w:r w:rsidR="00296BF5">
        <w:rPr>
          <w:rFonts w:hint="eastAsia"/>
        </w:rPr>
        <w:t>最終的な支えとなる</w:t>
      </w:r>
      <w:r>
        <w:rPr>
          <w:rFonts w:hint="eastAsia"/>
        </w:rPr>
        <w:t>規範</w:t>
      </w:r>
      <w:r w:rsidR="00F463C9">
        <w:rPr>
          <w:rFonts w:hint="eastAsia"/>
        </w:rPr>
        <w:t>である</w:t>
      </w:r>
      <w:r>
        <w:rPr>
          <w:rFonts w:hint="eastAsia"/>
        </w:rPr>
        <w:t>。各個人は計り知れない価値があるとみなされ、</w:t>
      </w:r>
      <w:r w:rsidR="00296BF5">
        <w:rPr>
          <w:rFonts w:hint="eastAsia"/>
        </w:rPr>
        <w:t>重要でない人は</w:t>
      </w:r>
      <w:r>
        <w:rPr>
          <w:rFonts w:hint="eastAsia"/>
        </w:rPr>
        <w:t>誰も</w:t>
      </w:r>
      <w:r w:rsidR="00296BF5">
        <w:rPr>
          <w:rFonts w:hint="eastAsia"/>
        </w:rPr>
        <w:t>い</w:t>
      </w:r>
      <w:r w:rsidR="00D015D9">
        <w:rPr>
          <w:rFonts w:hint="eastAsia"/>
        </w:rPr>
        <w:t>ない</w:t>
      </w:r>
      <w:r>
        <w:rPr>
          <w:rFonts w:hint="eastAsia"/>
        </w:rPr>
        <w:t>。人々は彼らが経済的または他の点で有用</w:t>
      </w:r>
      <w:r w:rsidR="00296BF5">
        <w:rPr>
          <w:rFonts w:hint="eastAsia"/>
        </w:rPr>
        <w:t>だという</w:t>
      </w:r>
      <w:r>
        <w:rPr>
          <w:rFonts w:hint="eastAsia"/>
        </w:rPr>
        <w:t>理由</w:t>
      </w:r>
      <w:r w:rsidR="00296BF5">
        <w:rPr>
          <w:rFonts w:hint="eastAsia"/>
        </w:rPr>
        <w:t>によってではなく、</w:t>
      </w:r>
      <w:r>
        <w:rPr>
          <w:rFonts w:hint="eastAsia"/>
        </w:rPr>
        <w:t>彼らの固有の</w:t>
      </w:r>
      <w:r w:rsidR="00296BF5">
        <w:rPr>
          <w:rFonts w:hint="eastAsia"/>
        </w:rPr>
        <w:t>（生来の）</w:t>
      </w:r>
      <w:r>
        <w:rPr>
          <w:rFonts w:hint="eastAsia"/>
        </w:rPr>
        <w:t>自己価値のゆえに評価されるべき</w:t>
      </w:r>
      <w:r w:rsidR="00F463C9">
        <w:rPr>
          <w:rFonts w:hint="eastAsia"/>
        </w:rPr>
        <w:t>である</w:t>
      </w:r>
      <w:r>
        <w:rPr>
          <w:rFonts w:hint="eastAsia"/>
        </w:rPr>
        <w:t>。</w:t>
      </w:r>
      <w:r>
        <w:t>…</w:t>
      </w:r>
      <w:r w:rsidR="00E81509">
        <w:rPr>
          <w:rFonts w:hint="eastAsia"/>
        </w:rPr>
        <w:t xml:space="preserve">　</w:t>
      </w:r>
      <w:r>
        <w:t>人権モデルは、人間の固有の尊厳</w:t>
      </w:r>
      <w:r w:rsidR="00E81509">
        <w:rPr>
          <w:rFonts w:hint="eastAsia"/>
        </w:rPr>
        <w:t>に焦点を当て、そしてそれに続いて、しかし</w:t>
      </w:r>
      <w:r>
        <w:t>必要な場合に限り、その人の医学的特性に焦点を当て</w:t>
      </w:r>
      <w:r w:rsidR="00D015D9">
        <w:t>る</w:t>
      </w:r>
      <w:r>
        <w:t>。</w:t>
      </w:r>
      <w:r w:rsidR="00E81509">
        <w:rPr>
          <w:rFonts w:hint="eastAsia"/>
        </w:rPr>
        <w:t>このモデル</w:t>
      </w:r>
      <w:r>
        <w:t>は彼/彼女に影響を与えるすべての決定において</w:t>
      </w:r>
      <w:r w:rsidR="00E81509">
        <w:rPr>
          <w:rFonts w:hint="eastAsia"/>
        </w:rPr>
        <w:t>その個人を舞台の中心に</w:t>
      </w:r>
      <w:r w:rsidR="003D0894">
        <w:rPr>
          <w:rFonts w:hint="eastAsia"/>
        </w:rPr>
        <w:t>配置し</w:t>
      </w:r>
      <w:r>
        <w:t>、そして最も重要なことは、</w:t>
      </w:r>
      <w:r w:rsidR="003D0894">
        <w:t>主な「問題」を</w:t>
      </w:r>
      <w:r w:rsidR="003D0894">
        <w:rPr>
          <w:rFonts w:hint="eastAsia"/>
        </w:rPr>
        <w:t>その人の外に、そ</w:t>
      </w:r>
      <w:r>
        <w:t>して社会の中</w:t>
      </w:r>
      <w:r w:rsidR="003D0894">
        <w:rPr>
          <w:rFonts w:hint="eastAsia"/>
        </w:rPr>
        <w:t>に見いだす</w:t>
      </w:r>
      <w:r w:rsidR="00DC7C76">
        <w:rPr>
          <w:rStyle w:val="ac"/>
        </w:rPr>
        <w:footnoteReference w:id="20"/>
      </w:r>
      <w:r>
        <w:t>。</w:t>
      </w:r>
    </w:p>
    <w:p w:rsidR="00D77707" w:rsidRDefault="00D77707" w:rsidP="003D0894">
      <w:pPr>
        <w:ind w:firstLineChars="100" w:firstLine="210"/>
      </w:pPr>
      <w:r>
        <w:rPr>
          <w:rFonts w:hint="eastAsia"/>
        </w:rPr>
        <w:t>しかし</w:t>
      </w:r>
      <w:r w:rsidR="003D0894">
        <w:rPr>
          <w:rFonts w:hint="eastAsia"/>
        </w:rPr>
        <w:t>こ</w:t>
      </w:r>
      <w:r>
        <w:rPr>
          <w:rFonts w:hint="eastAsia"/>
        </w:rPr>
        <w:t>の研究では、人権モデルと社会モデルを明確に</w:t>
      </w:r>
      <w:r w:rsidR="003D0894">
        <w:rPr>
          <w:rFonts w:hint="eastAsia"/>
        </w:rPr>
        <w:t>は</w:t>
      </w:r>
      <w:r>
        <w:rPr>
          <w:rFonts w:hint="eastAsia"/>
        </w:rPr>
        <w:t>区別してい</w:t>
      </w:r>
      <w:r w:rsidR="00D015D9">
        <w:rPr>
          <w:rFonts w:hint="eastAsia"/>
        </w:rPr>
        <w:t>な</w:t>
      </w:r>
      <w:r w:rsidR="003D0894">
        <w:rPr>
          <w:rFonts w:hint="eastAsia"/>
        </w:rPr>
        <w:t>かった</w:t>
      </w:r>
      <w:r>
        <w:rPr>
          <w:rFonts w:hint="eastAsia"/>
        </w:rPr>
        <w:t>。私は今そ</w:t>
      </w:r>
      <w:r w:rsidR="003D0894">
        <w:rPr>
          <w:rFonts w:hint="eastAsia"/>
        </w:rPr>
        <w:t>れを行い、</w:t>
      </w:r>
      <w:r>
        <w:rPr>
          <w:rFonts w:hint="eastAsia"/>
        </w:rPr>
        <w:t>それを実証するために</w:t>
      </w:r>
      <w:r>
        <w:t>6つの議論を提供</w:t>
      </w:r>
      <w:r w:rsidR="00D015D9">
        <w:t>する</w:t>
      </w:r>
      <w:r>
        <w:t>。</w:t>
      </w:r>
    </w:p>
    <w:p w:rsidR="00D77707" w:rsidRDefault="00D77707" w:rsidP="00D77707">
      <w:r>
        <w:t xml:space="preserve"> </w:t>
      </w:r>
    </w:p>
    <w:p w:rsidR="00D77707" w:rsidRPr="0086583A" w:rsidRDefault="00D77707" w:rsidP="00D77707">
      <w:pPr>
        <w:rPr>
          <w:rFonts w:ascii="ＭＳ ゴシック" w:eastAsia="ＭＳ ゴシック" w:hAnsi="ＭＳ ゴシック"/>
          <w:sz w:val="24"/>
          <w:szCs w:val="24"/>
        </w:rPr>
      </w:pPr>
      <w:r w:rsidRPr="0086583A">
        <w:rPr>
          <w:rFonts w:ascii="ＭＳ ゴシック" w:eastAsia="ＭＳ ゴシック" w:hAnsi="ＭＳ ゴシック" w:hint="eastAsia"/>
          <w:sz w:val="24"/>
          <w:szCs w:val="24"/>
        </w:rPr>
        <w:t>社会モデルと人権モデルの違い</w:t>
      </w:r>
    </w:p>
    <w:p w:rsidR="00D77707" w:rsidRDefault="00D77707" w:rsidP="00D77707">
      <w:r>
        <w:t xml:space="preserve"> </w:t>
      </w:r>
    </w:p>
    <w:p w:rsidR="00D77707" w:rsidRPr="0041601D" w:rsidRDefault="0041601D" w:rsidP="00D77707">
      <w:pPr>
        <w:rPr>
          <w:rFonts w:ascii="ＭＳ ゴシック" w:eastAsia="ＭＳ ゴシック" w:hAnsi="ＭＳ ゴシック"/>
          <w:i/>
          <w:iCs/>
        </w:rPr>
      </w:pPr>
      <w:r w:rsidRPr="0041601D">
        <w:rPr>
          <w:rFonts w:ascii="ＭＳ ゴシック" w:eastAsia="ＭＳ ゴシック" w:hAnsi="ＭＳ ゴシック" w:hint="eastAsia"/>
          <w:i/>
          <w:iCs/>
        </w:rPr>
        <w:t>1　機能障害</w:t>
      </w:r>
      <w:r w:rsidR="00D77707" w:rsidRPr="0041601D">
        <w:rPr>
          <w:rFonts w:ascii="ＭＳ ゴシック" w:eastAsia="ＭＳ ゴシック" w:hAnsi="ＭＳ ゴシック" w:hint="eastAsia"/>
          <w:i/>
          <w:iCs/>
        </w:rPr>
        <w:t>は人権</w:t>
      </w:r>
      <w:r w:rsidRPr="0041601D">
        <w:rPr>
          <w:rFonts w:ascii="ＭＳ ゴシック" w:eastAsia="ＭＳ ゴシック" w:hAnsi="ＭＳ ゴシック" w:hint="eastAsia"/>
          <w:i/>
          <w:iCs/>
        </w:rPr>
        <w:t>の</w:t>
      </w:r>
      <w:r w:rsidR="00D77707" w:rsidRPr="0041601D">
        <w:rPr>
          <w:rFonts w:ascii="ＭＳ ゴシック" w:eastAsia="ＭＳ ゴシック" w:hAnsi="ＭＳ ゴシック" w:hint="eastAsia"/>
          <w:i/>
          <w:iCs/>
        </w:rPr>
        <w:t>能力を</w:t>
      </w:r>
      <w:r w:rsidRPr="0041601D">
        <w:rPr>
          <w:rFonts w:ascii="ＭＳ ゴシック" w:eastAsia="ＭＳ ゴシック" w:hAnsi="ＭＳ ゴシック" w:hint="eastAsia"/>
          <w:i/>
          <w:iCs/>
        </w:rPr>
        <w:t>損ねない</w:t>
      </w:r>
    </w:p>
    <w:p w:rsidR="00D77707" w:rsidRDefault="00D77707" w:rsidP="00D77707"/>
    <w:p w:rsidR="003F0BF3" w:rsidRDefault="00D77707" w:rsidP="00F463C9">
      <w:pPr>
        <w:ind w:firstLineChars="100" w:firstLine="210"/>
      </w:pPr>
      <w:r>
        <w:rPr>
          <w:rFonts w:hint="eastAsia"/>
        </w:rPr>
        <w:t>第一に、社会モデルは単に障害を説明しているのに対し、人権モデルは障害者の人間</w:t>
      </w:r>
      <w:r w:rsidR="007D2F66">
        <w:rPr>
          <w:rFonts w:hint="eastAsia"/>
        </w:rPr>
        <w:t>としての</w:t>
      </w:r>
      <w:r>
        <w:rPr>
          <w:rFonts w:hint="eastAsia"/>
        </w:rPr>
        <w:t>尊厳を認める障害</w:t>
      </w:r>
      <w:r w:rsidR="007D2F66">
        <w:rPr>
          <w:rFonts w:hint="eastAsia"/>
        </w:rPr>
        <w:t>者</w:t>
      </w:r>
      <w:r>
        <w:rPr>
          <w:rFonts w:hint="eastAsia"/>
        </w:rPr>
        <w:t>政策の価値を</w:t>
      </w:r>
      <w:r w:rsidR="003F0BF3">
        <w:rPr>
          <w:rFonts w:hint="eastAsia"/>
        </w:rPr>
        <w:t>その範囲に含んでいる</w:t>
      </w:r>
      <w:r>
        <w:rPr>
          <w:rFonts w:hint="eastAsia"/>
        </w:rPr>
        <w:t>。人権モデルだけが、なぜ人権が</w:t>
      </w:r>
      <w:r w:rsidR="00D015D9">
        <w:rPr>
          <w:rFonts w:hint="eastAsia"/>
        </w:rPr>
        <w:t>機能障害</w:t>
      </w:r>
      <w:r w:rsidR="007D2F66">
        <w:rPr>
          <w:rFonts w:hint="eastAsia"/>
        </w:rPr>
        <w:t>がないこと</w:t>
      </w:r>
      <w:r>
        <w:rPr>
          <w:rFonts w:hint="eastAsia"/>
        </w:rPr>
        <w:t>を</w:t>
      </w:r>
      <w:r w:rsidR="007D2F66">
        <w:rPr>
          <w:rFonts w:hint="eastAsia"/>
        </w:rPr>
        <w:t>要件としない</w:t>
      </w:r>
      <w:r>
        <w:rPr>
          <w:rFonts w:hint="eastAsia"/>
        </w:rPr>
        <w:t>のかを説明することができ</w:t>
      </w:r>
      <w:r w:rsidR="00D015D9">
        <w:rPr>
          <w:rFonts w:hint="eastAsia"/>
        </w:rPr>
        <w:t>る</w:t>
      </w:r>
      <w:r>
        <w:rPr>
          <w:rFonts w:hint="eastAsia"/>
        </w:rPr>
        <w:t>。</w:t>
      </w:r>
    </w:p>
    <w:p w:rsidR="00D77707" w:rsidRDefault="00D77707" w:rsidP="00F463C9">
      <w:pPr>
        <w:ind w:firstLineChars="100" w:firstLine="210"/>
      </w:pPr>
      <w:r>
        <w:rPr>
          <w:rFonts w:hint="eastAsia"/>
        </w:rPr>
        <w:t>障害の社会モデルは、障害者の社会からの排除の</w:t>
      </w:r>
      <w:r>
        <w:t>1つの説明</w:t>
      </w:r>
      <w:r w:rsidR="004276B6">
        <w:rPr>
          <w:rStyle w:val="ac"/>
        </w:rPr>
        <w:footnoteReference w:id="21"/>
      </w:r>
      <w:r>
        <w:t>として作成された。それは社会の差別的かつ抑圧的な構造を分析するための強力なツールとして開発され</w:t>
      </w:r>
      <w:r w:rsidR="00F463C9">
        <w:t>た</w:t>
      </w:r>
      <w:r>
        <w:t>。</w:t>
      </w:r>
      <w:r w:rsidR="004276B6">
        <w:rPr>
          <w:rFonts w:hint="eastAsia"/>
        </w:rPr>
        <w:t>マイケル・オリバー</w:t>
      </w:r>
      <w:r>
        <w:t>の言葉を使</w:t>
      </w:r>
      <w:r w:rsidR="004276B6">
        <w:rPr>
          <w:rFonts w:hint="eastAsia"/>
        </w:rPr>
        <w:t>えば、</w:t>
      </w:r>
    </w:p>
    <w:p w:rsidR="00D77707" w:rsidRDefault="00D77707" w:rsidP="00D934E2">
      <w:pPr>
        <w:ind w:leftChars="405" w:left="850" w:firstLineChars="100" w:firstLine="210"/>
      </w:pPr>
      <w:r>
        <w:rPr>
          <w:rFonts w:hint="eastAsia"/>
        </w:rPr>
        <w:t>したがって、社会モデルに</w:t>
      </w:r>
      <w:r w:rsidR="004276B6">
        <w:rPr>
          <w:rFonts w:hint="eastAsia"/>
        </w:rPr>
        <w:t>よると、障害は</w:t>
      </w:r>
      <w:r>
        <w:rPr>
          <w:rFonts w:hint="eastAsia"/>
        </w:rPr>
        <w:t>障害者を制限するものすべて</w:t>
      </w:r>
      <w:r w:rsidR="00F463C9">
        <w:rPr>
          <w:rFonts w:hint="eastAsia"/>
        </w:rPr>
        <w:t>である</w:t>
      </w:r>
      <w:r>
        <w:rPr>
          <w:rFonts w:hint="eastAsia"/>
        </w:rPr>
        <w:t>。</w:t>
      </w:r>
      <w:r w:rsidR="004276B6">
        <w:rPr>
          <w:rFonts w:hint="eastAsia"/>
        </w:rPr>
        <w:t>一つひとつの</w:t>
      </w:r>
      <w:r>
        <w:rPr>
          <w:rFonts w:hint="eastAsia"/>
        </w:rPr>
        <w:t>偏見から制度上の差別</w:t>
      </w:r>
      <w:r w:rsidR="004276B6">
        <w:rPr>
          <w:rFonts w:hint="eastAsia"/>
        </w:rPr>
        <w:t>、</w:t>
      </w:r>
      <w:r>
        <w:rPr>
          <w:rFonts w:hint="eastAsia"/>
        </w:rPr>
        <w:t>アクセスできない公共建築物から使用不可能な交通システム、隔離された教育から</w:t>
      </w:r>
      <w:r w:rsidR="004276B6">
        <w:rPr>
          <w:rFonts w:hint="eastAsia"/>
        </w:rPr>
        <w:t>排斥的な労働環境、</w:t>
      </w:r>
      <w:r>
        <w:rPr>
          <w:rFonts w:hint="eastAsia"/>
        </w:rPr>
        <w:t>などに及ぶ。さらに、この失敗の結果は、単</w:t>
      </w:r>
      <w:r w:rsidR="004276B6">
        <w:rPr>
          <w:rFonts w:hint="eastAsia"/>
        </w:rPr>
        <w:t>にまた</w:t>
      </w:r>
      <w:r>
        <w:rPr>
          <w:rFonts w:hint="eastAsia"/>
        </w:rPr>
        <w:t>ランダムに</w:t>
      </w:r>
      <w:r w:rsidR="004276B6">
        <w:rPr>
          <w:rFonts w:hint="eastAsia"/>
        </w:rPr>
        <w:t>個々人に降りかかるのではなく、</w:t>
      </w:r>
      <w:r w:rsidR="00D934E2">
        <w:rPr>
          <w:rFonts w:hint="eastAsia"/>
        </w:rPr>
        <w:t>集団としての障害者に体系的に降りかかり、彼らは社会全体で制度化された差別の失敗を経験させられる</w:t>
      </w:r>
      <w:r w:rsidR="00D934E2">
        <w:rPr>
          <w:rStyle w:val="ac"/>
        </w:rPr>
        <w:footnoteReference w:id="22"/>
      </w:r>
      <w:r w:rsidR="00D934E2">
        <w:t>。</w:t>
      </w:r>
    </w:p>
    <w:p w:rsidR="00D77707" w:rsidRDefault="00D77707" w:rsidP="00F463C9">
      <w:pPr>
        <w:ind w:firstLineChars="100" w:firstLine="210"/>
      </w:pPr>
      <w:r>
        <w:rPr>
          <w:rFonts w:hint="eastAsia"/>
        </w:rPr>
        <w:t>この障害</w:t>
      </w:r>
      <w:r w:rsidR="00D934E2">
        <w:rPr>
          <w:rFonts w:hint="eastAsia"/>
        </w:rPr>
        <w:t>の</w:t>
      </w:r>
      <w:r>
        <w:rPr>
          <w:rFonts w:hint="eastAsia"/>
        </w:rPr>
        <w:t>社会学的説明は、障害に関する社会理論の基礎を築くかもしれ</w:t>
      </w:r>
      <w:r w:rsidR="00D015D9">
        <w:rPr>
          <w:rFonts w:hint="eastAsia"/>
        </w:rPr>
        <w:t>ない</w:t>
      </w:r>
      <w:r>
        <w:rPr>
          <w:rFonts w:hint="eastAsia"/>
        </w:rPr>
        <w:t>。しかし社会モデルは、障害者政策の基礎として道徳的原則や価値観を提供しようとはしてい</w:t>
      </w:r>
      <w:r w:rsidR="00D015D9">
        <w:rPr>
          <w:rFonts w:hint="eastAsia"/>
        </w:rPr>
        <w:t>ない</w:t>
      </w:r>
      <w:r>
        <w:rPr>
          <w:rFonts w:hint="eastAsia"/>
        </w:rPr>
        <w:t>。しかし</w:t>
      </w:r>
      <w:r>
        <w:t>CRPDはまさにそれを</w:t>
      </w:r>
      <w:r w:rsidR="003F0BF3">
        <w:rPr>
          <w:rFonts w:hint="eastAsia"/>
        </w:rPr>
        <w:t>追求し</w:t>
      </w:r>
      <w:r>
        <w:t>て</w:t>
      </w:r>
      <w:r w:rsidR="00D015D9">
        <w:t>いる</w:t>
      </w:r>
      <w:r>
        <w:t>。条約の目的は、「すべての障害者</w:t>
      </w:r>
      <w:r w:rsidR="00D44515">
        <w:rPr>
          <w:rFonts w:hint="eastAsia"/>
        </w:rPr>
        <w:t>によるあらゆる</w:t>
      </w:r>
      <w:r>
        <w:t>人権および基本的自由</w:t>
      </w:r>
      <w:r w:rsidR="00D44515">
        <w:rPr>
          <w:rFonts w:hint="eastAsia"/>
        </w:rPr>
        <w:t>の</w:t>
      </w:r>
      <w:r>
        <w:t>完全</w:t>
      </w:r>
      <w:r w:rsidR="00D44515">
        <w:rPr>
          <w:rFonts w:hint="eastAsia"/>
        </w:rPr>
        <w:t>かつ</w:t>
      </w:r>
      <w:r>
        <w:t>平等</w:t>
      </w:r>
      <w:r w:rsidR="00D44515">
        <w:rPr>
          <w:rFonts w:hint="eastAsia"/>
        </w:rPr>
        <w:t>な享有を促進し</w:t>
      </w:r>
      <w:r>
        <w:t>、</w:t>
      </w:r>
      <w:r w:rsidR="00D44515">
        <w:rPr>
          <w:rFonts w:hint="eastAsia"/>
        </w:rPr>
        <w:t>保護し、および確保すること、ならびに障害者の固有の</w:t>
      </w:r>
      <w:r>
        <w:t>尊厳</w:t>
      </w:r>
      <w:r w:rsidR="00D44515">
        <w:rPr>
          <w:rFonts w:hint="eastAsia"/>
        </w:rPr>
        <w:t>の</w:t>
      </w:r>
      <w:r>
        <w:t>尊重</w:t>
      </w:r>
      <w:r w:rsidR="00D44515">
        <w:rPr>
          <w:rFonts w:hint="eastAsia"/>
        </w:rPr>
        <w:t>を</w:t>
      </w:r>
      <w:r>
        <w:t>促進すること」</w:t>
      </w:r>
      <w:r w:rsidR="00D44515">
        <w:rPr>
          <w:rStyle w:val="ac"/>
        </w:rPr>
        <w:footnoteReference w:id="23"/>
      </w:r>
      <w:r>
        <w:t>であ</w:t>
      </w:r>
      <w:r w:rsidR="00D44515">
        <w:rPr>
          <w:rFonts w:hint="eastAsia"/>
        </w:rPr>
        <w:t>る。こ</w:t>
      </w:r>
      <w:r>
        <w:t>の目的を達成するために、</w:t>
      </w:r>
      <w:r w:rsidR="00D44515">
        <w:rPr>
          <w:rFonts w:hint="eastAsia"/>
        </w:rPr>
        <w:t>条約の</w:t>
      </w:r>
      <w:r>
        <w:t>8</w:t>
      </w:r>
      <w:r w:rsidR="00D44515">
        <w:rPr>
          <w:rFonts w:hint="eastAsia"/>
        </w:rPr>
        <w:t>つの</w:t>
      </w:r>
      <w:r>
        <w:t>基本原則</w:t>
      </w:r>
      <w:r w:rsidR="00D44515">
        <w:rPr>
          <w:rFonts w:hint="eastAsia"/>
        </w:rPr>
        <w:t>が</w:t>
      </w:r>
      <w:r w:rsidR="00D44515">
        <w:t>CRPD</w:t>
      </w:r>
      <w:r>
        <w:t>第3条に規定されており、</w:t>
      </w:r>
      <w:r w:rsidR="00EE1211">
        <w:rPr>
          <w:rFonts w:hint="eastAsia"/>
        </w:rPr>
        <w:t>それ以降の</w:t>
      </w:r>
      <w:r>
        <w:t>条項は国際人権法典</w:t>
      </w:r>
      <w:r w:rsidR="00EE1211">
        <w:rPr>
          <w:rStyle w:val="ac"/>
        </w:rPr>
        <w:footnoteReference w:id="24"/>
      </w:r>
      <w:r>
        <w:t>の既存の人権カタログを障害の文脈に合わせて</w:t>
      </w:r>
      <w:r w:rsidR="00EE1211">
        <w:rPr>
          <w:rFonts w:hint="eastAsia"/>
        </w:rPr>
        <w:t>適合</w:t>
      </w:r>
      <w:r>
        <w:t>して</w:t>
      </w:r>
      <w:r>
        <w:rPr>
          <w:rFonts w:hint="eastAsia"/>
        </w:rPr>
        <w:t>いる。人権は基本的権利</w:t>
      </w:r>
      <w:r w:rsidR="00F463C9">
        <w:rPr>
          <w:rFonts w:hint="eastAsia"/>
        </w:rPr>
        <w:t>である</w:t>
      </w:r>
      <w:r>
        <w:rPr>
          <w:rFonts w:hint="eastAsia"/>
        </w:rPr>
        <w:t>。</w:t>
      </w:r>
      <w:r w:rsidR="00EE1211">
        <w:rPr>
          <w:rFonts w:hint="eastAsia"/>
        </w:rPr>
        <w:t>それらは</w:t>
      </w:r>
      <w:r>
        <w:rPr>
          <w:rFonts w:hint="eastAsia"/>
        </w:rPr>
        <w:t>獲得</w:t>
      </w:r>
      <w:r w:rsidR="00EE1211">
        <w:rPr>
          <w:rFonts w:hint="eastAsia"/>
        </w:rPr>
        <w:t>することも</w:t>
      </w:r>
      <w:r>
        <w:rPr>
          <w:rFonts w:hint="eastAsia"/>
        </w:rPr>
        <w:t>、個人やグループから奪うこと</w:t>
      </w:r>
      <w:r w:rsidR="00EE1211">
        <w:rPr>
          <w:rFonts w:hint="eastAsia"/>
        </w:rPr>
        <w:t>も</w:t>
      </w:r>
      <w:r>
        <w:rPr>
          <w:rFonts w:hint="eastAsia"/>
        </w:rPr>
        <w:t>でき</w:t>
      </w:r>
      <w:r w:rsidR="00D015D9">
        <w:rPr>
          <w:rFonts w:hint="eastAsia"/>
        </w:rPr>
        <w:t>ない</w:t>
      </w:r>
      <w:r>
        <w:rPr>
          <w:rFonts w:hint="eastAsia"/>
        </w:rPr>
        <w:t>。それらは生まれつき獲得された普遍的なもの、すなわちすべての人間は人権の対象である。社会的地位も、身分の類型も、出身国</w:t>
      </w:r>
      <w:r w:rsidR="00F8299F">
        <w:rPr>
          <w:rFonts w:hint="eastAsia"/>
        </w:rPr>
        <w:t>その</w:t>
      </w:r>
      <w:r>
        <w:rPr>
          <w:rFonts w:hint="eastAsia"/>
        </w:rPr>
        <w:t>他のいかなる地位も、人が人権の対象</w:t>
      </w:r>
      <w:r w:rsidR="00F8299F">
        <w:rPr>
          <w:rFonts w:hint="eastAsia"/>
        </w:rPr>
        <w:t>である</w:t>
      </w:r>
      <w:r>
        <w:rPr>
          <w:rFonts w:hint="eastAsia"/>
        </w:rPr>
        <w:t>ことを妨げることはでき</w:t>
      </w:r>
      <w:r w:rsidR="00D015D9">
        <w:rPr>
          <w:rFonts w:hint="eastAsia"/>
        </w:rPr>
        <w:t>ない</w:t>
      </w:r>
      <w:r>
        <w:rPr>
          <w:rFonts w:hint="eastAsia"/>
        </w:rPr>
        <w:t>。したがって、人権は無条件の権利と呼ぶことができ</w:t>
      </w:r>
      <w:r w:rsidR="00D015D9">
        <w:rPr>
          <w:rFonts w:hint="eastAsia"/>
        </w:rPr>
        <w:t>る</w:t>
      </w:r>
      <w:r>
        <w:rPr>
          <w:rFonts w:hint="eastAsia"/>
        </w:rPr>
        <w:t>。それは彼らが制限されることが</w:t>
      </w:r>
      <w:r w:rsidR="003F0BF3">
        <w:rPr>
          <w:rFonts w:hint="eastAsia"/>
        </w:rPr>
        <w:t>ありえ</w:t>
      </w:r>
      <w:r>
        <w:rPr>
          <w:rFonts w:hint="eastAsia"/>
        </w:rPr>
        <w:t>ないという意味では</w:t>
      </w:r>
      <w:r w:rsidR="00D015D9">
        <w:rPr>
          <w:rFonts w:hint="eastAsia"/>
        </w:rPr>
        <w:t>な</w:t>
      </w:r>
      <w:r w:rsidR="003F0BF3">
        <w:rPr>
          <w:rFonts w:hint="eastAsia"/>
        </w:rPr>
        <w:t>く</w:t>
      </w:r>
      <w:r>
        <w:rPr>
          <w:rFonts w:hint="eastAsia"/>
        </w:rPr>
        <w:t>、</w:t>
      </w:r>
      <w:r w:rsidR="007638B2">
        <w:rPr>
          <w:rFonts w:hint="eastAsia"/>
        </w:rPr>
        <w:t>人権は</w:t>
      </w:r>
      <w:r>
        <w:rPr>
          <w:rFonts w:hint="eastAsia"/>
        </w:rPr>
        <w:t>特定の健康状態や機能の状態を必要としないことを意味</w:t>
      </w:r>
      <w:r w:rsidR="00D015D9">
        <w:rPr>
          <w:rFonts w:hint="eastAsia"/>
        </w:rPr>
        <w:t>する</w:t>
      </w:r>
      <w:r>
        <w:rPr>
          <w:rFonts w:hint="eastAsia"/>
        </w:rPr>
        <w:t>。したがって、人権は</w:t>
      </w:r>
      <w:r w:rsidR="00D015D9">
        <w:rPr>
          <w:rFonts w:hint="eastAsia"/>
        </w:rPr>
        <w:t>機能障害</w:t>
      </w:r>
      <w:r>
        <w:rPr>
          <w:rFonts w:hint="eastAsia"/>
        </w:rPr>
        <w:t>の</w:t>
      </w:r>
      <w:r w:rsidR="003F0BF3">
        <w:rPr>
          <w:rFonts w:hint="eastAsia"/>
        </w:rPr>
        <w:t>不在を要件</w:t>
      </w:r>
      <w:r>
        <w:rPr>
          <w:rFonts w:hint="eastAsia"/>
        </w:rPr>
        <w:t>とし</w:t>
      </w:r>
      <w:r w:rsidR="00D015D9">
        <w:rPr>
          <w:rFonts w:hint="eastAsia"/>
        </w:rPr>
        <w:t>ない</w:t>
      </w:r>
      <w:r>
        <w:rPr>
          <w:rFonts w:hint="eastAsia"/>
        </w:rPr>
        <w:t>。</w:t>
      </w:r>
      <w:r>
        <w:t>CRPDはこのメッセージを序文と</w:t>
      </w:r>
      <w:r w:rsidR="007638B2">
        <w:rPr>
          <w:rFonts w:hint="eastAsia"/>
        </w:rPr>
        <w:t>条項</w:t>
      </w:r>
      <w:r>
        <w:t>の</w:t>
      </w:r>
      <w:r w:rsidR="007638B2">
        <w:rPr>
          <w:rFonts w:hint="eastAsia"/>
        </w:rPr>
        <w:t>言葉</w:t>
      </w:r>
      <w:r>
        <w:t>に反映して</w:t>
      </w:r>
      <w:r w:rsidR="00D015D9">
        <w:t>いる</w:t>
      </w:r>
      <w:r>
        <w:t>。例えば、すべての障害者</w:t>
      </w:r>
      <w:r w:rsidR="007638B2">
        <w:rPr>
          <w:rFonts w:hint="eastAsia"/>
        </w:rPr>
        <w:t>にとっての</w:t>
      </w:r>
      <w:r>
        <w:t>すべての人権の普遍性</w:t>
      </w:r>
      <w:r w:rsidR="00D5427B">
        <w:rPr>
          <w:rFonts w:hint="eastAsia"/>
        </w:rPr>
        <w:t>が</w:t>
      </w:r>
      <w:r>
        <w:t>再確認</w:t>
      </w:r>
      <w:r w:rsidR="00D5427B">
        <w:rPr>
          <w:rFonts w:hint="eastAsia"/>
        </w:rPr>
        <w:t>され</w:t>
      </w:r>
      <w:r w:rsidR="007638B2">
        <w:rPr>
          <w:rStyle w:val="ac"/>
        </w:rPr>
        <w:footnoteReference w:id="25"/>
      </w:r>
      <w:r>
        <w:t>、また</w:t>
      </w:r>
      <w:r w:rsidR="00D5427B">
        <w:rPr>
          <w:rFonts w:hint="eastAsia"/>
        </w:rPr>
        <w:t>、</w:t>
      </w:r>
      <w:r>
        <w:t>より</w:t>
      </w:r>
      <w:r w:rsidR="00D5427B">
        <w:rPr>
          <w:rFonts w:hint="eastAsia"/>
        </w:rPr>
        <w:t>多くの</w:t>
      </w:r>
      <w:r>
        <w:t>支援を必要とする人を含むすべての障害者の人権を保護する必要があることが認識された</w:t>
      </w:r>
      <w:r w:rsidR="00D5427B">
        <w:rPr>
          <w:rStyle w:val="ac"/>
        </w:rPr>
        <w:footnoteReference w:id="26"/>
      </w:r>
      <w:r>
        <w:t>。</w:t>
      </w:r>
      <w:r w:rsidR="003F0BF3">
        <w:rPr>
          <w:rFonts w:hint="eastAsia"/>
        </w:rPr>
        <w:t>平等な</w:t>
      </w:r>
      <w:r>
        <w:t>法的能力を持つ人としての</w:t>
      </w:r>
      <w:r w:rsidR="00D5427B">
        <w:t>法の前</w:t>
      </w:r>
      <w:r w:rsidR="00D5427B">
        <w:rPr>
          <w:rFonts w:hint="eastAsia"/>
        </w:rPr>
        <w:t>で</w:t>
      </w:r>
      <w:r w:rsidR="00D5427B">
        <w:t>の</w:t>
      </w:r>
      <w:r>
        <w:t>平等な認識</w:t>
      </w:r>
      <w:r w:rsidR="00D5427B">
        <w:rPr>
          <w:rStyle w:val="ac"/>
        </w:rPr>
        <w:footnoteReference w:id="27"/>
      </w:r>
      <w:r>
        <w:t>は、</w:t>
      </w:r>
      <w:r w:rsidR="00D5427B">
        <w:rPr>
          <w:rFonts w:hint="eastAsia"/>
        </w:rPr>
        <w:t>当然</w:t>
      </w:r>
      <w:r>
        <w:t>この</w:t>
      </w:r>
      <w:r w:rsidR="00D5427B">
        <w:rPr>
          <w:rFonts w:hint="eastAsia"/>
        </w:rPr>
        <w:t>考え方</w:t>
      </w:r>
      <w:r>
        <w:t>の別の例</w:t>
      </w:r>
      <w:r w:rsidR="00F463C9">
        <w:t>である</w:t>
      </w:r>
      <w:r>
        <w:t>。</w:t>
      </w:r>
    </w:p>
    <w:p w:rsidR="00D77707" w:rsidRDefault="00D77707" w:rsidP="00F463C9">
      <w:pPr>
        <w:ind w:firstLineChars="100" w:firstLine="210"/>
      </w:pPr>
      <w:r>
        <w:rPr>
          <w:rFonts w:hint="eastAsia"/>
        </w:rPr>
        <w:t>したがって、障害の人権モデルは、</w:t>
      </w:r>
      <w:r w:rsidR="00D015D9">
        <w:rPr>
          <w:rFonts w:hint="eastAsia"/>
        </w:rPr>
        <w:t>機能障害</w:t>
      </w:r>
      <w:r>
        <w:rPr>
          <w:rFonts w:hint="eastAsia"/>
        </w:rPr>
        <w:t>が人権の能力を妨げる可能性があるという推定に</w:t>
      </w:r>
      <w:r w:rsidR="00D5427B">
        <w:rPr>
          <w:rFonts w:hint="eastAsia"/>
        </w:rPr>
        <w:t>反抗</w:t>
      </w:r>
      <w:r>
        <w:rPr>
          <w:rFonts w:hint="eastAsia"/>
        </w:rPr>
        <w:t>している。障害の社会モデルも権利の重要性を認識しており</w:t>
      </w:r>
      <w:r w:rsidR="00D5427B">
        <w:rPr>
          <w:rStyle w:val="ac"/>
        </w:rPr>
        <w:footnoteReference w:id="28"/>
      </w:r>
      <w:r>
        <w:t>、</w:t>
      </w:r>
      <w:r w:rsidR="00282CB1">
        <w:rPr>
          <w:rFonts w:hint="eastAsia"/>
        </w:rPr>
        <w:t>障害者政策の</w:t>
      </w:r>
      <w:r>
        <w:t>ニーズ</w:t>
      </w:r>
      <w:r w:rsidR="00D5427B">
        <w:rPr>
          <w:rFonts w:hint="eastAsia"/>
        </w:rPr>
        <w:t>に基づくアプローチや</w:t>
      </w:r>
      <w:r>
        <w:t>福祉アプローチとは対照的に、</w:t>
      </w:r>
      <w:r w:rsidR="00282CB1">
        <w:rPr>
          <w:rFonts w:hint="eastAsia"/>
        </w:rPr>
        <w:t>障害に対する</w:t>
      </w:r>
      <w:r>
        <w:t>権利</w:t>
      </w:r>
      <w:r w:rsidR="00282CB1">
        <w:rPr>
          <w:rFonts w:hint="eastAsia"/>
        </w:rPr>
        <w:t>に基づく</w:t>
      </w:r>
      <w:r>
        <w:t>アプローチに</w:t>
      </w:r>
      <w:r w:rsidR="00282CB1">
        <w:rPr>
          <w:rFonts w:hint="eastAsia"/>
        </w:rPr>
        <w:t>しばしば</w:t>
      </w:r>
      <w:r>
        <w:t>結びついている</w:t>
      </w:r>
      <w:r w:rsidR="00282CB1">
        <w:rPr>
          <w:rStyle w:val="ac"/>
        </w:rPr>
        <w:footnoteReference w:id="29"/>
      </w:r>
      <w:r>
        <w:t>。</w:t>
      </w:r>
      <w:r w:rsidR="00282CB1">
        <w:rPr>
          <w:rFonts w:hint="eastAsia"/>
        </w:rPr>
        <w:t>しかし、</w:t>
      </w:r>
      <w:r w:rsidR="003F0BF3">
        <w:rPr>
          <w:rFonts w:hint="eastAsia"/>
        </w:rPr>
        <w:t>障害学の</w:t>
      </w:r>
      <w:r w:rsidR="00282CB1">
        <w:rPr>
          <w:rFonts w:hint="eastAsia"/>
        </w:rPr>
        <w:t>法律分野以外の学者は、</w:t>
      </w:r>
      <w:r>
        <w:t>障害の</w:t>
      </w:r>
      <w:r w:rsidR="00282CB1">
        <w:rPr>
          <w:rFonts w:hint="eastAsia"/>
        </w:rPr>
        <w:t>社会</w:t>
      </w:r>
      <w:r>
        <w:t>モデルは、</w:t>
      </w:r>
      <w:r w:rsidR="00282CB1">
        <w:rPr>
          <w:rFonts w:hint="eastAsia"/>
        </w:rPr>
        <w:t>まずもって</w:t>
      </w:r>
      <w:r>
        <w:t>、障害に対する権利に基づくアプローチではな</w:t>
      </w:r>
      <w:r w:rsidR="00282CB1">
        <w:rPr>
          <w:rFonts w:hint="eastAsia"/>
        </w:rPr>
        <w:t>く、権利を越えて</w:t>
      </w:r>
      <w:r>
        <w:t>社会における社会的関係</w:t>
      </w:r>
      <w:r w:rsidR="00282CB1">
        <w:rPr>
          <w:rFonts w:hint="eastAsia"/>
        </w:rPr>
        <w:t>、不平等な社会システムにまで及ぶ、と強調する</w:t>
      </w:r>
      <w:r w:rsidR="00282CB1">
        <w:rPr>
          <w:rStyle w:val="ac"/>
        </w:rPr>
        <w:footnoteReference w:id="30"/>
      </w:r>
      <w:r w:rsidR="00282CB1">
        <w:rPr>
          <w:rFonts w:hint="eastAsia"/>
        </w:rPr>
        <w:t>。しかし</w:t>
      </w:r>
      <w:r>
        <w:t>彼らは、社会モデル提唱者が市民権および差別禁止法の闘争を支持していると</w:t>
      </w:r>
      <w:r w:rsidR="003F0BF3">
        <w:rPr>
          <w:rFonts w:hint="eastAsia"/>
        </w:rPr>
        <w:t>は</w:t>
      </w:r>
      <w:r>
        <w:t>認め</w:t>
      </w:r>
      <w:r w:rsidR="003F0BF3">
        <w:rPr>
          <w:rFonts w:hint="eastAsia"/>
        </w:rPr>
        <w:t>てい</w:t>
      </w:r>
      <w:r>
        <w:t>る</w:t>
      </w:r>
      <w:r w:rsidR="00D71554">
        <w:rPr>
          <w:rStyle w:val="ac"/>
        </w:rPr>
        <w:footnoteReference w:id="31"/>
      </w:r>
      <w:r>
        <w:t>。</w:t>
      </w:r>
    </w:p>
    <w:p w:rsidR="00D77707" w:rsidRDefault="00D77707" w:rsidP="00D77707">
      <w:r>
        <w:t xml:space="preserve"> </w:t>
      </w:r>
    </w:p>
    <w:p w:rsidR="00D77707" w:rsidRPr="0041601D" w:rsidRDefault="00D77707" w:rsidP="00D77707">
      <w:pPr>
        <w:rPr>
          <w:rFonts w:ascii="ＭＳ ゴシック" w:eastAsia="ＭＳ ゴシック" w:hAnsi="ＭＳ ゴシック"/>
          <w:i/>
          <w:iCs/>
        </w:rPr>
      </w:pPr>
      <w:r w:rsidRPr="00645FE6">
        <w:rPr>
          <w:rFonts w:ascii="ＭＳ ゴシック" w:eastAsia="ＭＳ ゴシック" w:hAnsi="ＭＳ ゴシック"/>
          <w:i/>
          <w:iCs/>
        </w:rPr>
        <w:t>2.人権モデルは、第一世代と第二世代の人権</w:t>
      </w:r>
      <w:r w:rsidR="0041601D" w:rsidRPr="00645FE6">
        <w:rPr>
          <w:rFonts w:ascii="ＭＳ ゴシック" w:eastAsia="ＭＳ ゴシック" w:hAnsi="ＭＳ ゴシック" w:hint="eastAsia"/>
          <w:i/>
          <w:iCs/>
        </w:rPr>
        <w:t>を</w:t>
      </w:r>
      <w:r w:rsidRPr="00645FE6">
        <w:rPr>
          <w:rFonts w:ascii="ＭＳ ゴシック" w:eastAsia="ＭＳ ゴシック" w:hAnsi="ＭＳ ゴシック"/>
          <w:i/>
          <w:iCs/>
        </w:rPr>
        <w:t>含</w:t>
      </w:r>
      <w:r w:rsidR="0041601D" w:rsidRPr="00645FE6">
        <w:rPr>
          <w:rFonts w:ascii="ＭＳ ゴシック" w:eastAsia="ＭＳ ゴシック" w:hAnsi="ＭＳ ゴシック" w:hint="eastAsia"/>
          <w:i/>
          <w:iCs/>
        </w:rPr>
        <w:t>む</w:t>
      </w:r>
    </w:p>
    <w:p w:rsidR="00D77707" w:rsidRDefault="00D77707" w:rsidP="00D77707"/>
    <w:p w:rsidR="00D77707" w:rsidRDefault="00D77707" w:rsidP="00F463C9">
      <w:pPr>
        <w:ind w:firstLineChars="100" w:firstLine="210"/>
      </w:pPr>
      <w:r>
        <w:rPr>
          <w:rFonts w:hint="eastAsia"/>
        </w:rPr>
        <w:t>第二に、社会モデルは差別防止政策の公民権改革を</w:t>
      </w:r>
      <w:r w:rsidR="00501C9F">
        <w:rPr>
          <w:rFonts w:hint="eastAsia"/>
        </w:rPr>
        <w:t>支援する</w:t>
      </w:r>
      <w:r>
        <w:rPr>
          <w:rFonts w:hint="eastAsia"/>
        </w:rPr>
        <w:t>が、障害の人権モデルは、</w:t>
      </w:r>
      <w:r w:rsidR="00501C9F">
        <w:rPr>
          <w:rFonts w:hint="eastAsia"/>
        </w:rPr>
        <w:t>より包括的で、</w:t>
      </w:r>
      <w:r>
        <w:rPr>
          <w:rFonts w:hint="eastAsia"/>
        </w:rPr>
        <w:t>市民</w:t>
      </w:r>
      <w:r w:rsidR="00501C9F">
        <w:rPr>
          <w:rFonts w:hint="eastAsia"/>
        </w:rPr>
        <w:t>的</w:t>
      </w:r>
      <w:r>
        <w:rPr>
          <w:rFonts w:hint="eastAsia"/>
        </w:rPr>
        <w:t>政治</w:t>
      </w:r>
      <w:r w:rsidR="00501C9F">
        <w:rPr>
          <w:rFonts w:hint="eastAsia"/>
        </w:rPr>
        <w:t>的権利および</w:t>
      </w:r>
      <w:r>
        <w:rPr>
          <w:rFonts w:hint="eastAsia"/>
        </w:rPr>
        <w:t>経済的社会的文化的権利の両方</w:t>
      </w:r>
      <w:r w:rsidR="00501C9F">
        <w:rPr>
          <w:rFonts w:hint="eastAsia"/>
        </w:rPr>
        <w:t>の人権領域を</w:t>
      </w:r>
      <w:r>
        <w:rPr>
          <w:rFonts w:hint="eastAsia"/>
        </w:rPr>
        <w:t>含む。</w:t>
      </w:r>
    </w:p>
    <w:p w:rsidR="00D77707" w:rsidRDefault="00D77707" w:rsidP="00F463C9">
      <w:pPr>
        <w:ind w:firstLineChars="100" w:firstLine="210"/>
      </w:pPr>
      <w:r>
        <w:rPr>
          <w:rFonts w:hint="eastAsia"/>
        </w:rPr>
        <w:t>障害の社会モデルは、多くの国で公民権改革と差別禁止法の闘いの足がかりとして役立ってきた</w:t>
      </w:r>
      <w:r w:rsidR="00501C9F">
        <w:rPr>
          <w:rStyle w:val="ac"/>
        </w:rPr>
        <w:footnoteReference w:id="32"/>
      </w:r>
      <w:r>
        <w:t>。</w:t>
      </w:r>
      <w:r w:rsidR="003F0BF3">
        <w:rPr>
          <w:rFonts w:hint="eastAsia"/>
        </w:rPr>
        <w:t>また</w:t>
      </w:r>
      <w:r>
        <w:t>、障害の社会モデルは、その障害</w:t>
      </w:r>
      <w:r w:rsidR="00501C9F">
        <w:rPr>
          <w:rFonts w:hint="eastAsia"/>
        </w:rPr>
        <w:t>者</w:t>
      </w:r>
      <w:r>
        <w:t>政策の基礎としてEUによって公式に認められるようになった</w:t>
      </w:r>
      <w:r w:rsidR="00645FE6">
        <w:rPr>
          <w:rStyle w:val="ac"/>
        </w:rPr>
        <w:footnoteReference w:id="33"/>
      </w:r>
      <w:r>
        <w:t>。障害</w:t>
      </w:r>
      <w:r w:rsidR="00645FE6">
        <w:rPr>
          <w:rFonts w:hint="eastAsia"/>
        </w:rPr>
        <w:t>学</w:t>
      </w:r>
      <w:r>
        <w:t>では、</w:t>
      </w:r>
      <w:r w:rsidR="00645FE6">
        <w:t>障害の</w:t>
      </w:r>
      <w:r>
        <w:t>権利に基づく</w:t>
      </w:r>
      <w:r w:rsidR="00645FE6">
        <w:rPr>
          <w:rFonts w:hint="eastAsia"/>
        </w:rPr>
        <w:t>この</w:t>
      </w:r>
      <w:r>
        <w:t>取り組みは、市民権と平等を規定するツールとして特徴づけられて</w:t>
      </w:r>
      <w:r w:rsidR="00645FE6">
        <w:rPr>
          <w:rFonts w:hint="eastAsia"/>
        </w:rPr>
        <w:t>きた</w:t>
      </w:r>
      <w:r w:rsidR="00645FE6">
        <w:rPr>
          <w:rStyle w:val="ac"/>
        </w:rPr>
        <w:footnoteReference w:id="34"/>
      </w:r>
      <w:r>
        <w:t>。</w:t>
      </w:r>
      <w:r w:rsidRPr="00343D51">
        <w:t>差別禁止法を要求する</w:t>
      </w:r>
      <w:r>
        <w:t>ことは、障害を不平等と差別の産物として分析する論理的帰結である。障害の社会モデルが</w:t>
      </w:r>
      <w:r w:rsidR="00343D51">
        <w:rPr>
          <w:rFonts w:hint="eastAsia"/>
        </w:rPr>
        <w:t>マイノリティ</w:t>
      </w:r>
      <w:r>
        <w:t>モデルとして概念化された米国では、市民権の闘いは、同様に、抑圧された少数派の一員としての障害者の本当の状況</w:t>
      </w:r>
      <w:r>
        <w:rPr>
          <w:rFonts w:hint="eastAsia"/>
        </w:rPr>
        <w:t>を開示する方法として</w:t>
      </w:r>
      <w:r w:rsidR="00343D51">
        <w:rPr>
          <w:rFonts w:hint="eastAsia"/>
        </w:rPr>
        <w:t>現</w:t>
      </w:r>
      <w:r>
        <w:rPr>
          <w:rFonts w:hint="eastAsia"/>
        </w:rPr>
        <w:t>れた</w:t>
      </w:r>
      <w:r w:rsidR="0005637D">
        <w:rPr>
          <w:rStyle w:val="ac"/>
        </w:rPr>
        <w:footnoteReference w:id="35"/>
      </w:r>
      <w:r>
        <w:rPr>
          <w:rFonts w:hint="eastAsia"/>
        </w:rPr>
        <w:t>。権利への焦点は、障害者を</w:t>
      </w:r>
      <w:r w:rsidR="00343D51">
        <w:rPr>
          <w:rFonts w:hint="eastAsia"/>
        </w:rPr>
        <w:t>依存的福祉受給者</w:t>
      </w:r>
      <w:r>
        <w:rPr>
          <w:rFonts w:hint="eastAsia"/>
        </w:rPr>
        <w:t>として描</w:t>
      </w:r>
      <w:r w:rsidR="00343D51">
        <w:rPr>
          <w:rFonts w:hint="eastAsia"/>
        </w:rPr>
        <w:t>く</w:t>
      </w:r>
      <w:r>
        <w:rPr>
          <w:rFonts w:hint="eastAsia"/>
        </w:rPr>
        <w:t>ニーズ</w:t>
      </w:r>
      <w:r w:rsidR="00343D51">
        <w:rPr>
          <w:rFonts w:hint="eastAsia"/>
        </w:rPr>
        <w:t>を基礎とする</w:t>
      </w:r>
      <w:r>
        <w:rPr>
          <w:rFonts w:hint="eastAsia"/>
        </w:rPr>
        <w:t>社会政策に代わるものと捉えられた。依存のイデオロギーは、</w:t>
      </w:r>
      <w:r w:rsidR="00343D51">
        <w:rPr>
          <w:rFonts w:hint="eastAsia"/>
        </w:rPr>
        <w:t>マイケル・</w:t>
      </w:r>
      <w:r>
        <w:rPr>
          <w:rFonts w:hint="eastAsia"/>
        </w:rPr>
        <w:t>オリバーによって障害</w:t>
      </w:r>
      <w:r w:rsidR="00343D51">
        <w:rPr>
          <w:rFonts w:hint="eastAsia"/>
        </w:rPr>
        <w:t>を</w:t>
      </w:r>
      <w:r>
        <w:rPr>
          <w:rFonts w:hint="eastAsia"/>
        </w:rPr>
        <w:t>社会的</w:t>
      </w:r>
      <w:r w:rsidR="00343D51">
        <w:rPr>
          <w:rFonts w:hint="eastAsia"/>
        </w:rPr>
        <w:t>に</w:t>
      </w:r>
      <w:r>
        <w:rPr>
          <w:rFonts w:hint="eastAsia"/>
        </w:rPr>
        <w:t>構築</w:t>
      </w:r>
      <w:r w:rsidR="00343D51">
        <w:rPr>
          <w:rFonts w:hint="eastAsia"/>
        </w:rPr>
        <w:t>する際</w:t>
      </w:r>
      <w:r>
        <w:rPr>
          <w:rFonts w:hint="eastAsia"/>
        </w:rPr>
        <w:t>の不可欠</w:t>
      </w:r>
      <w:r w:rsidR="00343D51">
        <w:rPr>
          <w:rFonts w:hint="eastAsia"/>
        </w:rPr>
        <w:t>の</w:t>
      </w:r>
      <w:r>
        <w:rPr>
          <w:rFonts w:hint="eastAsia"/>
        </w:rPr>
        <w:t>手段として考案された</w:t>
      </w:r>
      <w:r w:rsidR="0005637D">
        <w:rPr>
          <w:rStyle w:val="ac"/>
        </w:rPr>
        <w:footnoteReference w:id="36"/>
      </w:r>
      <w:r>
        <w:t>。したがって、差別禁止法は障害への福祉的アプローチの救済策と見られていた。したがって、障害者は平等な権利を持つ市民と</w:t>
      </w:r>
      <w:r w:rsidR="003F0BF3">
        <w:rPr>
          <w:rFonts w:hint="eastAsia"/>
        </w:rPr>
        <w:t>して描かれる</w:t>
      </w:r>
      <w:r>
        <w:t>。建築上の障壁は、差別の一形態として定義</w:t>
      </w:r>
      <w:r w:rsidR="00343D51">
        <w:rPr>
          <w:rFonts w:hint="eastAsia"/>
        </w:rPr>
        <w:t>され、</w:t>
      </w:r>
      <w:r>
        <w:t>隔離された学校はアパルトヘイトと表現</w:t>
      </w:r>
      <w:r w:rsidR="00343D51">
        <w:rPr>
          <w:rFonts w:hint="eastAsia"/>
        </w:rPr>
        <w:t>される。</w:t>
      </w:r>
      <w:r>
        <w:t>障害政策における福祉法から市民権法への移行は、多</w:t>
      </w:r>
      <w:r>
        <w:rPr>
          <w:rFonts w:hint="eastAsia"/>
        </w:rPr>
        <w:t>くの国で障害</w:t>
      </w:r>
      <w:r w:rsidR="00343D51">
        <w:rPr>
          <w:rFonts w:hint="eastAsia"/>
        </w:rPr>
        <w:t>者</w:t>
      </w:r>
      <w:r>
        <w:rPr>
          <w:rFonts w:hint="eastAsia"/>
        </w:rPr>
        <w:t>運動の焦点となった</w:t>
      </w:r>
      <w:r w:rsidR="0005637D">
        <w:rPr>
          <w:rStyle w:val="ac"/>
        </w:rPr>
        <w:footnoteReference w:id="37"/>
      </w:r>
      <w:r>
        <w:t>。「慈善ではな</w:t>
      </w:r>
      <w:r w:rsidR="00343D51">
        <w:rPr>
          <w:rFonts w:hint="eastAsia"/>
        </w:rPr>
        <w:t>く権利を</w:t>
      </w:r>
      <w:r>
        <w:t>」は、</w:t>
      </w:r>
      <w:r w:rsidR="00343D51">
        <w:rPr>
          <w:rFonts w:hint="eastAsia"/>
        </w:rPr>
        <w:t>これまで、そして今なお、世界中の</w:t>
      </w:r>
      <w:r>
        <w:t>障害者権利活動家</w:t>
      </w:r>
      <w:r w:rsidR="00343D51">
        <w:rPr>
          <w:rFonts w:hint="eastAsia"/>
        </w:rPr>
        <w:t>の</w:t>
      </w:r>
      <w:r>
        <w:t>スローガンである。</w:t>
      </w:r>
    </w:p>
    <w:p w:rsidR="00963C08" w:rsidRDefault="00963C08" w:rsidP="00F463C9">
      <w:pPr>
        <w:ind w:firstLineChars="100" w:firstLine="210"/>
      </w:pPr>
      <w:r w:rsidRPr="00963C08">
        <w:rPr>
          <w:rFonts w:hint="eastAsia"/>
        </w:rPr>
        <w:t>しかし、差別禁止法は、問題に対する部分的な解決策</w:t>
      </w:r>
      <w:r w:rsidR="00343D51">
        <w:rPr>
          <w:rFonts w:hint="eastAsia"/>
        </w:rPr>
        <w:t>でしかない。</w:t>
      </w:r>
      <w:r w:rsidRPr="00963C08">
        <w:rPr>
          <w:rFonts w:hint="eastAsia"/>
        </w:rPr>
        <w:t>障壁やその他の形態の差別のない社会においても、人々は社会的、経済的および文化的権利を必要と</w:t>
      </w:r>
      <w:r w:rsidR="00343D51">
        <w:rPr>
          <w:rFonts w:hint="eastAsia"/>
        </w:rPr>
        <w:t>す</w:t>
      </w:r>
      <w:r w:rsidR="00D015D9">
        <w:rPr>
          <w:rFonts w:hint="eastAsia"/>
        </w:rPr>
        <w:t>る</w:t>
      </w:r>
      <w:r w:rsidRPr="00963C08">
        <w:rPr>
          <w:rFonts w:hint="eastAsia"/>
        </w:rPr>
        <w:t>。人々は避難所、教育、雇用</w:t>
      </w:r>
      <w:r w:rsidR="003F0BF3">
        <w:rPr>
          <w:rFonts w:hint="eastAsia"/>
        </w:rPr>
        <w:t>や</w:t>
      </w:r>
      <w:r w:rsidRPr="00963C08">
        <w:rPr>
          <w:rFonts w:hint="eastAsia"/>
        </w:rPr>
        <w:t>文化的参加を必要と</w:t>
      </w:r>
      <w:r w:rsidR="00343D51">
        <w:rPr>
          <w:rFonts w:hint="eastAsia"/>
        </w:rPr>
        <w:t>す</w:t>
      </w:r>
      <w:r w:rsidR="00D015D9">
        <w:rPr>
          <w:rFonts w:hint="eastAsia"/>
        </w:rPr>
        <w:t>る</w:t>
      </w:r>
      <w:r w:rsidRPr="00963C08">
        <w:rPr>
          <w:rFonts w:hint="eastAsia"/>
        </w:rPr>
        <w:t>。これはすべての人間、したがって障害者にも当てはま</w:t>
      </w:r>
      <w:r w:rsidR="00D015D9">
        <w:rPr>
          <w:rFonts w:hint="eastAsia"/>
        </w:rPr>
        <w:t>る</w:t>
      </w:r>
      <w:r w:rsidRPr="00963C08">
        <w:rPr>
          <w:rFonts w:hint="eastAsia"/>
        </w:rPr>
        <w:t>。しかしながら、</w:t>
      </w:r>
      <w:r w:rsidR="00D015D9">
        <w:rPr>
          <w:rFonts w:hint="eastAsia"/>
        </w:rPr>
        <w:t>機能障害</w:t>
      </w:r>
      <w:r w:rsidRPr="00963C08">
        <w:rPr>
          <w:rFonts w:hint="eastAsia"/>
        </w:rPr>
        <w:t>はしばしば援助</w:t>
      </w:r>
      <w:r w:rsidR="00343D51">
        <w:rPr>
          <w:rFonts w:hint="eastAsia"/>
        </w:rPr>
        <w:t>ニーズ</w:t>
      </w:r>
      <w:r w:rsidRPr="00963C08">
        <w:rPr>
          <w:rFonts w:hint="eastAsia"/>
        </w:rPr>
        <w:t>をもたらすので、障害者が市民的および政治的権利以上のものを必要とすることは</w:t>
      </w:r>
      <w:r w:rsidR="00343D51">
        <w:rPr>
          <w:rFonts w:hint="eastAsia"/>
        </w:rPr>
        <w:t>間違いない</w:t>
      </w:r>
      <w:r w:rsidRPr="00963C08">
        <w:rPr>
          <w:rFonts w:hint="eastAsia"/>
        </w:rPr>
        <w:t>。過去の福祉政策や法律は障害者を市民として認め、</w:t>
      </w:r>
      <w:r w:rsidR="00343D51">
        <w:rPr>
          <w:rFonts w:hint="eastAsia"/>
        </w:rPr>
        <w:t>エンパワーす</w:t>
      </w:r>
      <w:r w:rsidRPr="00963C08">
        <w:rPr>
          <w:rFonts w:hint="eastAsia"/>
        </w:rPr>
        <w:t>ることに失敗し</w:t>
      </w:r>
      <w:r w:rsidR="00343D51">
        <w:rPr>
          <w:rFonts w:hint="eastAsia"/>
        </w:rPr>
        <w:t>た</w:t>
      </w:r>
      <w:r w:rsidRPr="00963C08">
        <w:rPr>
          <w:rFonts w:hint="eastAsia"/>
        </w:rPr>
        <w:t>が</w:t>
      </w:r>
      <w:r w:rsidR="0005637D">
        <w:rPr>
          <w:rStyle w:val="ac"/>
        </w:rPr>
        <w:footnoteReference w:id="38"/>
      </w:r>
      <w:r w:rsidRPr="00963C08">
        <w:rPr>
          <w:rFonts w:hint="eastAsia"/>
        </w:rPr>
        <w:t>、パーソナルアシスタントサービスや個人予算</w:t>
      </w:r>
      <w:r w:rsidR="00047209">
        <w:rPr>
          <w:rFonts w:hint="eastAsia"/>
        </w:rPr>
        <w:t>（</w:t>
      </w:r>
      <w:r w:rsidR="00047209" w:rsidRPr="00047209">
        <w:t>personal budget</w:t>
      </w:r>
      <w:r w:rsidR="00047209">
        <w:rPr>
          <w:rFonts w:hint="eastAsia"/>
        </w:rPr>
        <w:t>）</w:t>
      </w:r>
      <w:r w:rsidRPr="00963C08">
        <w:t>の法律は、古典的な社会法でさえ障害者に選択と</w:t>
      </w:r>
      <w:r w:rsidR="00047209">
        <w:rPr>
          <w:rFonts w:hint="eastAsia"/>
        </w:rPr>
        <w:t>コントロール</w:t>
      </w:r>
      <w:r w:rsidRPr="00963C08">
        <w:t>を与えることができることを証明し</w:t>
      </w:r>
      <w:r w:rsidR="00047209">
        <w:rPr>
          <w:rFonts w:hint="eastAsia"/>
        </w:rPr>
        <w:t>た</w:t>
      </w:r>
      <w:r w:rsidR="0005637D">
        <w:rPr>
          <w:rStyle w:val="ac"/>
        </w:rPr>
        <w:footnoteReference w:id="39"/>
      </w:r>
      <w:r w:rsidRPr="00963C08">
        <w:t>。世界的な自立生活運動は常に純粋な反差別の権利よりもむしろより広い人権の観点から彼らの要求を表現してき</w:t>
      </w:r>
      <w:r w:rsidR="00F463C9">
        <w:t>た</w:t>
      </w:r>
      <w:r w:rsidRPr="00963C08">
        <w:t>。障害の人権モデルには、政治的市民的</w:t>
      </w:r>
      <w:r w:rsidR="00047209">
        <w:rPr>
          <w:rFonts w:hint="eastAsia"/>
        </w:rPr>
        <w:t>権利</w:t>
      </w:r>
      <w:r w:rsidRPr="00963C08">
        <w:t>および経済的文化的権利の両方の人権が含まれ</w:t>
      </w:r>
      <w:r w:rsidR="00D015D9">
        <w:t>る</w:t>
      </w:r>
      <w:r w:rsidRPr="00963C08">
        <w:t>。</w:t>
      </w:r>
      <w:r w:rsidR="00047209" w:rsidRPr="00963C08">
        <w:t>冷戦時代に</w:t>
      </w:r>
      <w:r w:rsidR="00047209">
        <w:rPr>
          <w:rFonts w:hint="eastAsia"/>
        </w:rPr>
        <w:t>、</w:t>
      </w:r>
      <w:r w:rsidRPr="00963C08">
        <w:t>政治的な理由から</w:t>
      </w:r>
      <w:r w:rsidR="00047209">
        <w:rPr>
          <w:rFonts w:hint="eastAsia"/>
        </w:rPr>
        <w:t>人権の別個の</w:t>
      </w:r>
      <w:r w:rsidRPr="00963C08">
        <w:t>カテゴリーとして</w:t>
      </w:r>
      <w:r w:rsidR="00047209">
        <w:rPr>
          <w:rFonts w:hint="eastAsia"/>
        </w:rPr>
        <w:t>採択された</w:t>
      </w:r>
      <w:r w:rsidRPr="00963C08">
        <w:t>これら2つの人権の</w:t>
      </w:r>
      <w:r w:rsidR="00047209">
        <w:rPr>
          <w:rFonts w:hint="eastAsia"/>
        </w:rPr>
        <w:t>カゴ</w:t>
      </w:r>
      <w:r w:rsidR="0005637D">
        <w:rPr>
          <w:rStyle w:val="ac"/>
        </w:rPr>
        <w:footnoteReference w:id="40"/>
      </w:r>
      <w:r w:rsidRPr="00963C08">
        <w:t>は、1948年の世界人権宣言（UDHR）</w:t>
      </w:r>
      <w:r w:rsidR="00047209">
        <w:rPr>
          <w:rFonts w:hint="eastAsia"/>
        </w:rPr>
        <w:t>の</w:t>
      </w:r>
      <w:r w:rsidRPr="00963C08">
        <w:t>ように、完全にCRPDに組み込</w:t>
      </w:r>
      <w:r w:rsidRPr="00963C08">
        <w:rPr>
          <w:rFonts w:hint="eastAsia"/>
        </w:rPr>
        <w:t>まれて</w:t>
      </w:r>
      <w:r w:rsidR="00D015D9">
        <w:rPr>
          <w:rFonts w:hint="eastAsia"/>
        </w:rPr>
        <w:t>いる</w:t>
      </w:r>
      <w:r w:rsidRPr="00963C08">
        <w:rPr>
          <w:rFonts w:hint="eastAsia"/>
        </w:rPr>
        <w:t>。経済的、社会的および文化的権利に対する市民的および政治的権利の法的な</w:t>
      </w:r>
      <w:r w:rsidR="00047209">
        <w:rPr>
          <w:rFonts w:hint="eastAsia"/>
        </w:rPr>
        <w:t>優位性</w:t>
      </w:r>
      <w:r w:rsidRPr="00963C08">
        <w:rPr>
          <w:rFonts w:hint="eastAsia"/>
        </w:rPr>
        <w:t>は、国際法学および経済的、社会的および文化的権利に関する国際規約（</w:t>
      </w:r>
      <w:r w:rsidRPr="00963C08">
        <w:t>ICESCR）の監視および実施の強化を通じて、徐々にだが着実に減少している。主要な画期的な出来事は、2012年に経済的、社会的および文化的権利のための</w:t>
      </w:r>
      <w:r w:rsidR="001B152A">
        <w:rPr>
          <w:rFonts w:hint="eastAsia"/>
        </w:rPr>
        <w:t>個人通報制度</w:t>
      </w:r>
      <w:r w:rsidRPr="00963C08">
        <w:t>が発効し、</w:t>
      </w:r>
      <w:r w:rsidR="001B152A">
        <w:rPr>
          <w:rFonts w:hint="eastAsia"/>
        </w:rPr>
        <w:t>「</w:t>
      </w:r>
      <w:r w:rsidRPr="00963C08">
        <w:t>国連が世界人権宣言で想定</w:t>
      </w:r>
      <w:r w:rsidR="001B152A">
        <w:rPr>
          <w:rFonts w:hint="eastAsia"/>
        </w:rPr>
        <w:t>した</w:t>
      </w:r>
      <w:r w:rsidRPr="00963C08">
        <w:t>規範的</w:t>
      </w:r>
      <w:r w:rsidR="001B152A">
        <w:rPr>
          <w:rFonts w:hint="eastAsia"/>
        </w:rPr>
        <w:t>構想の輪が完成した」</w:t>
      </w:r>
      <w:r w:rsidRPr="00963C08">
        <w:t>こと</w:t>
      </w:r>
      <w:r w:rsidR="00F463C9">
        <w:t>である</w:t>
      </w:r>
      <w:r w:rsidR="00577ED6">
        <w:rPr>
          <w:rStyle w:val="ac"/>
        </w:rPr>
        <w:footnoteReference w:id="41"/>
      </w:r>
      <w:r w:rsidRPr="00963C08">
        <w:t>。すべての人権の</w:t>
      </w:r>
      <w:r w:rsidR="001B152A">
        <w:rPr>
          <w:rFonts w:hint="eastAsia"/>
        </w:rPr>
        <w:t>普遍性、不可分性及び</w:t>
      </w:r>
      <w:r w:rsidRPr="00963C08">
        <w:t>相互依存</w:t>
      </w:r>
      <w:r w:rsidR="001B152A">
        <w:rPr>
          <w:rFonts w:hint="eastAsia"/>
        </w:rPr>
        <w:t>性</w:t>
      </w:r>
      <w:r w:rsidRPr="00963C08">
        <w:t>は、20年前</w:t>
      </w:r>
      <w:r w:rsidRPr="00963C08">
        <w:rPr>
          <w:rFonts w:hint="eastAsia"/>
        </w:rPr>
        <w:t>のウィーンで開催された世界人権会議で国際人権法の原則として</w:t>
      </w:r>
      <w:r w:rsidR="001B152A">
        <w:rPr>
          <w:rFonts w:hint="eastAsia"/>
        </w:rPr>
        <w:t>明確に</w:t>
      </w:r>
      <w:r w:rsidRPr="00963C08">
        <w:rPr>
          <w:rFonts w:hint="eastAsia"/>
        </w:rPr>
        <w:t>確立され</w:t>
      </w:r>
      <w:r w:rsidR="00F463C9">
        <w:rPr>
          <w:rFonts w:hint="eastAsia"/>
        </w:rPr>
        <w:t>た</w:t>
      </w:r>
      <w:r w:rsidR="00577ED6">
        <w:rPr>
          <w:rStyle w:val="ac"/>
        </w:rPr>
        <w:footnoteReference w:id="42"/>
      </w:r>
      <w:r w:rsidRPr="00963C08">
        <w:rPr>
          <w:rFonts w:hint="eastAsia"/>
        </w:rPr>
        <w:t>。</w:t>
      </w:r>
      <w:r w:rsidR="001B152A" w:rsidRPr="00963C08">
        <w:t>CRPDは、両方の人権の不可分性と相互依存性の好例</w:t>
      </w:r>
      <w:r w:rsidR="001B152A">
        <w:t>である</w:t>
      </w:r>
      <w:r w:rsidR="001B152A" w:rsidRPr="00963C08">
        <w:t>。</w:t>
      </w:r>
      <w:r w:rsidRPr="00963C08">
        <w:rPr>
          <w:rFonts w:hint="eastAsia"/>
        </w:rPr>
        <w:t>それは両方の人権</w:t>
      </w:r>
      <w:r w:rsidR="00132FEA">
        <w:rPr>
          <w:rFonts w:hint="eastAsia"/>
        </w:rPr>
        <w:t>セット</w:t>
      </w:r>
      <w:r w:rsidRPr="00963C08">
        <w:rPr>
          <w:rFonts w:hint="eastAsia"/>
        </w:rPr>
        <w:t>を含むだけでなく、</w:t>
      </w:r>
      <w:r w:rsidR="00132FEA">
        <w:rPr>
          <w:rFonts w:hint="eastAsia"/>
        </w:rPr>
        <w:t>条約の文章</w:t>
      </w:r>
      <w:r w:rsidRPr="00963C08">
        <w:rPr>
          <w:rFonts w:hint="eastAsia"/>
        </w:rPr>
        <w:t>それ自体</w:t>
      </w:r>
      <w:r w:rsidR="00132FEA">
        <w:rPr>
          <w:rFonts w:hint="eastAsia"/>
        </w:rPr>
        <w:t>が</w:t>
      </w:r>
      <w:r w:rsidRPr="00963C08">
        <w:rPr>
          <w:rFonts w:hint="eastAsia"/>
        </w:rPr>
        <w:t>これらの権利の相互依存と相互関係の証拠</w:t>
      </w:r>
      <w:r w:rsidR="00F463C9">
        <w:rPr>
          <w:rFonts w:hint="eastAsia"/>
        </w:rPr>
        <w:t>である</w:t>
      </w:r>
      <w:r w:rsidRPr="00963C08">
        <w:rPr>
          <w:rFonts w:hint="eastAsia"/>
        </w:rPr>
        <w:t>。権利に関するいくつかの条項は、</w:t>
      </w:r>
      <w:r w:rsidRPr="00963C08">
        <w:t>1つのカテゴリーだけに明確に</w:t>
      </w:r>
      <w:r w:rsidR="00132FEA">
        <w:rPr>
          <w:rFonts w:hint="eastAsia"/>
        </w:rPr>
        <w:t>分類する</w:t>
      </w:r>
      <w:r w:rsidRPr="00963C08">
        <w:t>こと</w:t>
      </w:r>
      <w:r w:rsidR="00132FEA">
        <w:rPr>
          <w:rFonts w:hint="eastAsia"/>
        </w:rPr>
        <w:t>は</w:t>
      </w:r>
      <w:r w:rsidRPr="00963C08">
        <w:t>でき</w:t>
      </w:r>
      <w:r w:rsidR="00D015D9">
        <w:t>ない</w:t>
      </w:r>
      <w:r w:rsidRPr="00963C08">
        <w:t>。例えば、法律の前に人と見なされる権利</w:t>
      </w:r>
      <w:r w:rsidR="00577ED6">
        <w:rPr>
          <w:rStyle w:val="ac"/>
        </w:rPr>
        <w:footnoteReference w:id="43"/>
      </w:r>
      <w:r w:rsidRPr="00963C08">
        <w:t>は一般的に</w:t>
      </w:r>
      <w:r w:rsidR="00132FEA">
        <w:rPr>
          <w:rFonts w:hint="eastAsia"/>
        </w:rPr>
        <w:t>市民的</w:t>
      </w:r>
      <w:r w:rsidRPr="00963C08">
        <w:t>権利と見なされる</w:t>
      </w:r>
      <w:r w:rsidR="00577ED6">
        <w:rPr>
          <w:rStyle w:val="ac"/>
        </w:rPr>
        <w:footnoteReference w:id="44"/>
      </w:r>
      <w:r w:rsidRPr="00963C08">
        <w:t>。しかし、</w:t>
      </w:r>
      <w:r w:rsidR="00132FEA" w:rsidRPr="00963C08">
        <w:t>CRPD</w:t>
      </w:r>
      <w:r w:rsidRPr="00963C08">
        <w:t>第12条（3）は障害者が</w:t>
      </w:r>
      <w:r w:rsidR="00132FEA">
        <w:rPr>
          <w:rFonts w:hint="eastAsia"/>
        </w:rPr>
        <w:t>そ</w:t>
      </w:r>
      <w:r w:rsidRPr="00963C08">
        <w:t>の法的能力を行使する</w:t>
      </w:r>
      <w:r w:rsidR="00132FEA">
        <w:rPr>
          <w:rFonts w:hint="eastAsia"/>
        </w:rPr>
        <w:t>ために</w:t>
      </w:r>
      <w:r w:rsidRPr="00963C08">
        <w:t>必要</w:t>
      </w:r>
      <w:r w:rsidR="00132FEA">
        <w:rPr>
          <w:rFonts w:hint="eastAsia"/>
        </w:rPr>
        <w:t>な</w:t>
      </w:r>
      <w:r w:rsidRPr="00963C08">
        <w:t>支援について語っている。この支援</w:t>
      </w:r>
      <w:r w:rsidR="00132FEA">
        <w:rPr>
          <w:rFonts w:hint="eastAsia"/>
        </w:rPr>
        <w:t>が</w:t>
      </w:r>
      <w:r w:rsidRPr="00963C08">
        <w:t>、経済的、社会的および文化</w:t>
      </w:r>
      <w:r w:rsidRPr="00963C08">
        <w:rPr>
          <w:rFonts w:hint="eastAsia"/>
        </w:rPr>
        <w:t>的権利の範囲に入る社会サービスによって</w:t>
      </w:r>
      <w:r w:rsidR="00132FEA">
        <w:rPr>
          <w:rFonts w:hint="eastAsia"/>
        </w:rPr>
        <w:t>実際に提供されているだろうか</w:t>
      </w:r>
      <w:r w:rsidRPr="00963C08">
        <w:rPr>
          <w:rFonts w:hint="eastAsia"/>
        </w:rPr>
        <w:t>？別の例は、自立生活</w:t>
      </w:r>
      <w:r w:rsidR="00132FEA">
        <w:rPr>
          <w:rFonts w:hint="eastAsia"/>
        </w:rPr>
        <w:t>の</w:t>
      </w:r>
      <w:r w:rsidRPr="00963C08">
        <w:rPr>
          <w:rFonts w:hint="eastAsia"/>
        </w:rPr>
        <w:t>権利であ</w:t>
      </w:r>
      <w:r w:rsidR="00132FEA">
        <w:rPr>
          <w:rFonts w:hint="eastAsia"/>
        </w:rPr>
        <w:t>る</w:t>
      </w:r>
      <w:r w:rsidR="00577ED6">
        <w:rPr>
          <w:rStyle w:val="ac"/>
        </w:rPr>
        <w:footnoteReference w:id="45"/>
      </w:r>
      <w:r w:rsidRPr="00963C08">
        <w:t>。</w:t>
      </w:r>
      <w:r w:rsidR="00F03CD8">
        <w:rPr>
          <w:rFonts w:hint="eastAsia"/>
        </w:rPr>
        <w:t>これは、</w:t>
      </w:r>
      <w:r w:rsidR="00132FEA">
        <w:rPr>
          <w:rFonts w:hint="eastAsia"/>
        </w:rPr>
        <w:t>これまでの</w:t>
      </w:r>
      <w:r w:rsidRPr="00963C08">
        <w:t>拘束力のある条約に</w:t>
      </w:r>
      <w:r w:rsidR="003F0BF3">
        <w:rPr>
          <w:rFonts w:hint="eastAsia"/>
        </w:rPr>
        <w:t>は</w:t>
      </w:r>
      <w:r w:rsidR="00132FEA">
        <w:rPr>
          <w:rFonts w:hint="eastAsia"/>
        </w:rPr>
        <w:t>同じ</w:t>
      </w:r>
      <w:r w:rsidR="003F0BF3">
        <w:rPr>
          <w:rFonts w:hint="eastAsia"/>
        </w:rPr>
        <w:t>もの</w:t>
      </w:r>
      <w:r w:rsidR="00F03CD8">
        <w:rPr>
          <w:rFonts w:hint="eastAsia"/>
        </w:rPr>
        <w:t>が明確には見られない、</w:t>
      </w:r>
      <w:r w:rsidRPr="00963C08">
        <w:t>CRPDの数少ない権利の</w:t>
      </w:r>
      <w:r w:rsidR="00F03CD8">
        <w:rPr>
          <w:rFonts w:hint="eastAsia"/>
        </w:rPr>
        <w:t>中の</w:t>
      </w:r>
      <w:r w:rsidRPr="00963C08">
        <w:t>一つである。自立生活を送る権利および地域社会に含まれる権利は、</w:t>
      </w:r>
      <w:r w:rsidR="00F03CD8">
        <w:rPr>
          <w:rFonts w:hint="eastAsia"/>
        </w:rPr>
        <w:t>施設入所</w:t>
      </w:r>
      <w:r w:rsidRPr="00963C08">
        <w:t>やその他の排除方法、例えば家に隠</w:t>
      </w:r>
      <w:r w:rsidR="00F03CD8">
        <w:rPr>
          <w:rFonts w:hint="eastAsia"/>
        </w:rPr>
        <w:t>し</w:t>
      </w:r>
      <w:r w:rsidRPr="00963C08">
        <w:t>たり遠くの場所に</w:t>
      </w:r>
      <w:r w:rsidR="00F03CD8">
        <w:rPr>
          <w:rFonts w:hint="eastAsia"/>
        </w:rPr>
        <w:t>コロニー</w:t>
      </w:r>
      <w:r w:rsidRPr="00963C08">
        <w:t>化したりする</w:t>
      </w:r>
      <w:r w:rsidR="00F03CD8">
        <w:rPr>
          <w:rFonts w:hint="eastAsia"/>
        </w:rPr>
        <w:t>、</w:t>
      </w:r>
      <w:r w:rsidRPr="00963C08">
        <w:t>障害者</w:t>
      </w:r>
      <w:r w:rsidR="00F03CD8">
        <w:rPr>
          <w:rFonts w:hint="eastAsia"/>
        </w:rPr>
        <w:t>の</w:t>
      </w:r>
      <w:r w:rsidRPr="00963C08">
        <w:t>人権侵害への答え</w:t>
      </w:r>
      <w:r w:rsidR="00F463C9">
        <w:t>である</w:t>
      </w:r>
      <w:r w:rsidRPr="00963C08">
        <w:t>。</w:t>
      </w:r>
      <w:r w:rsidR="00F03CD8">
        <w:rPr>
          <w:rFonts w:hint="eastAsia"/>
        </w:rPr>
        <w:t>自立</w:t>
      </w:r>
      <w:r w:rsidRPr="00963C08">
        <w:t>生活や</w:t>
      </w:r>
      <w:r w:rsidR="00F03CD8">
        <w:rPr>
          <w:rFonts w:hint="eastAsia"/>
        </w:rPr>
        <w:t>地域社会での</w:t>
      </w:r>
      <w:r w:rsidRPr="00963C08">
        <w:t>生活の概念は主流の人権哲学に</w:t>
      </w:r>
      <w:r w:rsidR="00F03CD8">
        <w:rPr>
          <w:rFonts w:hint="eastAsia"/>
        </w:rPr>
        <w:t>源流を持っていない。そのためこ</w:t>
      </w:r>
      <w:r w:rsidRPr="00963C08">
        <w:t>の用語</w:t>
      </w:r>
      <w:r w:rsidR="00F03CD8">
        <w:rPr>
          <w:rFonts w:hint="eastAsia"/>
        </w:rPr>
        <w:t>は</w:t>
      </w:r>
      <w:r w:rsidRPr="00963C08">
        <w:t>国際人権法典では見</w:t>
      </w:r>
      <w:r w:rsidR="00B513D8">
        <w:t>られないものの、CRPDに先立つ</w:t>
      </w:r>
      <w:r w:rsidR="00B513D8">
        <w:rPr>
          <w:rFonts w:hint="eastAsia"/>
        </w:rPr>
        <w:t>関連</w:t>
      </w:r>
      <w:r w:rsidRPr="00963C08">
        <w:t>する</w:t>
      </w:r>
      <w:r w:rsidRPr="00963C08">
        <w:rPr>
          <w:rFonts w:hint="eastAsia"/>
        </w:rPr>
        <w:t>国際ソフト</w:t>
      </w:r>
      <w:r w:rsidR="00B513D8">
        <w:rPr>
          <w:rFonts w:hint="eastAsia"/>
        </w:rPr>
        <w:t>ロー（宣言など、強制力のない規範）に</w:t>
      </w:r>
      <w:r w:rsidRPr="00963C08">
        <w:rPr>
          <w:rFonts w:hint="eastAsia"/>
        </w:rPr>
        <w:t>見</w:t>
      </w:r>
      <w:r w:rsidR="00B513D8">
        <w:rPr>
          <w:rFonts w:hint="eastAsia"/>
        </w:rPr>
        <w:t>ることができる。</w:t>
      </w:r>
      <w:r w:rsidRPr="00963C08">
        <w:rPr>
          <w:rFonts w:hint="eastAsia"/>
        </w:rPr>
        <w:t>この概念は、</w:t>
      </w:r>
      <w:r w:rsidRPr="00963C08">
        <w:t>1960年代から1970年代にかけてアメリカ、スカンジナビア、イタリア、その他多くの国々で生まれた障害者の権利運動およびその他の社会的運動（脱施設化運動</w:t>
      </w:r>
      <w:r w:rsidR="00577ED6">
        <w:rPr>
          <w:rStyle w:val="ac"/>
        </w:rPr>
        <w:footnoteReference w:id="46"/>
      </w:r>
      <w:r w:rsidRPr="00963C08">
        <w:t>）から派生したもの</w:t>
      </w:r>
      <w:r w:rsidR="00F463C9">
        <w:t>である</w:t>
      </w:r>
      <w:r w:rsidR="00577ED6">
        <w:rPr>
          <w:rStyle w:val="ac"/>
        </w:rPr>
        <w:footnoteReference w:id="47"/>
      </w:r>
      <w:r w:rsidRPr="00963C08">
        <w:t>。</w:t>
      </w:r>
      <w:r w:rsidR="00B513D8">
        <w:rPr>
          <w:rFonts w:hint="eastAsia"/>
        </w:rPr>
        <w:t>世界人権宣言</w:t>
      </w:r>
      <w:r w:rsidRPr="00963C08">
        <w:t>の人権の共通</w:t>
      </w:r>
      <w:r w:rsidR="007C4D7D">
        <w:rPr>
          <w:rFonts w:hint="eastAsia"/>
        </w:rPr>
        <w:t>項目に自立</w:t>
      </w:r>
      <w:r w:rsidRPr="00963C08">
        <w:t>や地域生活の権利は含まれてい</w:t>
      </w:r>
      <w:r w:rsidR="00D015D9">
        <w:t>ない</w:t>
      </w:r>
      <w:r w:rsidRPr="00963C08">
        <w:t>。</w:t>
      </w:r>
      <w:r w:rsidR="007C4D7D">
        <w:rPr>
          <w:rFonts w:hint="eastAsia"/>
        </w:rPr>
        <w:t>とにかく</w:t>
      </w:r>
      <w:r w:rsidRPr="00963C08">
        <w:t>、自立生活の権利は自分の住居を選択する自由にさかのぼることができ</w:t>
      </w:r>
      <w:r w:rsidR="00D015D9">
        <w:t>る</w:t>
      </w:r>
      <w:r w:rsidRPr="00963C08">
        <w:t>。</w:t>
      </w:r>
      <w:r w:rsidR="007C4D7D">
        <w:rPr>
          <w:rFonts w:hint="eastAsia"/>
        </w:rPr>
        <w:t>これは</w:t>
      </w:r>
      <w:r w:rsidRPr="00963C08">
        <w:t>他の条約では通常、移動の自由と関連し、純粋な市民権として設計されて</w:t>
      </w:r>
      <w:r w:rsidR="00D015D9">
        <w:t>いる</w:t>
      </w:r>
      <w:r w:rsidR="00577ED6">
        <w:rPr>
          <w:rStyle w:val="ac"/>
        </w:rPr>
        <w:footnoteReference w:id="48"/>
      </w:r>
      <w:r w:rsidRPr="00963C08">
        <w:t>。</w:t>
      </w:r>
      <w:r w:rsidR="007C4D7D">
        <w:rPr>
          <w:rFonts w:hint="eastAsia"/>
        </w:rPr>
        <w:t>しかし自立生活は、</w:t>
      </w:r>
      <w:r w:rsidRPr="00963C08">
        <w:t>社会的権利を実現するための手段である</w:t>
      </w:r>
      <w:r w:rsidRPr="00963C08">
        <w:rPr>
          <w:rFonts w:hint="eastAsia"/>
        </w:rPr>
        <w:t>パーソナルアシスタントサービス</w:t>
      </w:r>
      <w:r w:rsidR="00F7712B">
        <w:rPr>
          <w:rFonts w:hint="eastAsia"/>
        </w:rPr>
        <w:t>等を必要とする</w:t>
      </w:r>
      <w:r w:rsidRPr="00963C08">
        <w:rPr>
          <w:rFonts w:hint="eastAsia"/>
        </w:rPr>
        <w:t>。</w:t>
      </w:r>
      <w:r w:rsidR="00F7712B">
        <w:rPr>
          <w:rFonts w:hint="eastAsia"/>
        </w:rPr>
        <w:t>こうして</w:t>
      </w:r>
      <w:r w:rsidRPr="00963C08">
        <w:t>CESCR委員会は、</w:t>
      </w:r>
      <w:r w:rsidR="00F7712B">
        <w:rPr>
          <w:rFonts w:hint="eastAsia"/>
        </w:rPr>
        <w:t>相当な</w:t>
      </w:r>
      <w:r w:rsidRPr="00963C08">
        <w:t>生活水準への権利を、障害者の自立生活の権利を含むものと解釈し</w:t>
      </w:r>
      <w:r w:rsidR="00F7712B">
        <w:rPr>
          <w:rFonts w:hint="eastAsia"/>
        </w:rPr>
        <w:t>た</w:t>
      </w:r>
      <w:r w:rsidR="00577ED6">
        <w:rPr>
          <w:rStyle w:val="ac"/>
        </w:rPr>
        <w:footnoteReference w:id="49"/>
      </w:r>
      <w:r w:rsidRPr="00963C08">
        <w:t>。しかし</w:t>
      </w:r>
      <w:r w:rsidR="00F7712B">
        <w:rPr>
          <w:rFonts w:hint="eastAsia"/>
        </w:rPr>
        <w:t>同委員会</w:t>
      </w:r>
      <w:r w:rsidRPr="00963C08">
        <w:t>はまた</w:t>
      </w:r>
      <w:r w:rsidR="00F7712B">
        <w:rPr>
          <w:rFonts w:hint="eastAsia"/>
        </w:rPr>
        <w:t>、</w:t>
      </w:r>
      <w:r w:rsidRPr="00963C08">
        <w:t>この問題を反差別措置にも結びつけている。その一般的</w:t>
      </w:r>
      <w:r w:rsidR="00F7712B">
        <w:rPr>
          <w:rFonts w:hint="eastAsia"/>
        </w:rPr>
        <w:t>意見第</w:t>
      </w:r>
      <w:r w:rsidRPr="00963C08">
        <w:t xml:space="preserve"> 5</w:t>
      </w:r>
      <w:r w:rsidR="00F7712B">
        <w:rPr>
          <w:rFonts w:hint="eastAsia"/>
        </w:rPr>
        <w:t>号</w:t>
      </w:r>
      <w:r w:rsidRPr="00963C08">
        <w:t>は、ICESCR第11条を「アクセス可能な住居」および「障害者が日常生活の中で自立のレベルを高め、権利を行使すること</w:t>
      </w:r>
      <w:r w:rsidR="00F7712B">
        <w:rPr>
          <w:rFonts w:hint="eastAsia"/>
        </w:rPr>
        <w:t>」</w:t>
      </w:r>
      <w:r w:rsidRPr="00963C08">
        <w:t>を可能にする</w:t>
      </w:r>
      <w:r w:rsidR="00F7712B">
        <w:rPr>
          <w:rFonts w:hint="eastAsia"/>
        </w:rPr>
        <w:t>「</w:t>
      </w:r>
      <w:r w:rsidRPr="00963C08">
        <w:t>支援機器を含む</w:t>
      </w:r>
      <w:r w:rsidR="00F7712B" w:rsidRPr="00963C08">
        <w:t>支援</w:t>
      </w:r>
      <w:r w:rsidRPr="00963C08">
        <w:t>サービス</w:t>
      </w:r>
      <w:r w:rsidR="00F7712B">
        <w:rPr>
          <w:rFonts w:hint="eastAsia"/>
        </w:rPr>
        <w:t>」への</w:t>
      </w:r>
      <w:r w:rsidRPr="00963C08">
        <w:t>権利と解釈している</w:t>
      </w:r>
      <w:r w:rsidR="00577ED6">
        <w:rPr>
          <w:rStyle w:val="ac"/>
        </w:rPr>
        <w:footnoteReference w:id="50"/>
      </w:r>
      <w:r w:rsidRPr="00963C08">
        <w:t>。過去15年間、脱施設化、自立生活および</w:t>
      </w:r>
      <w:r w:rsidR="00F7712B">
        <w:rPr>
          <w:rFonts w:hint="eastAsia"/>
        </w:rPr>
        <w:t>地域社会での</w:t>
      </w:r>
      <w:r w:rsidRPr="00963C08">
        <w:t>生活の権利、ならびに</w:t>
      </w:r>
      <w:r w:rsidR="00F7712B" w:rsidRPr="00963C08">
        <w:t>CRPD</w:t>
      </w:r>
      <w:r w:rsidR="00F7712B">
        <w:rPr>
          <w:rFonts w:hint="eastAsia"/>
        </w:rPr>
        <w:t>第</w:t>
      </w:r>
      <w:r w:rsidRPr="00963C08">
        <w:t>19条に基づ</w:t>
      </w:r>
      <w:r w:rsidRPr="00963C08">
        <w:rPr>
          <w:rFonts w:hint="eastAsia"/>
        </w:rPr>
        <w:t>く加盟国の義務に関する</w:t>
      </w:r>
      <w:r w:rsidR="00F7712B">
        <w:rPr>
          <w:rFonts w:hint="eastAsia"/>
        </w:rPr>
        <w:t>多くの</w:t>
      </w:r>
      <w:r w:rsidRPr="00963C08">
        <w:rPr>
          <w:rFonts w:hint="eastAsia"/>
        </w:rPr>
        <w:t>出版があ</w:t>
      </w:r>
      <w:r w:rsidR="00F7712B">
        <w:rPr>
          <w:rFonts w:hint="eastAsia"/>
        </w:rPr>
        <w:t>った</w:t>
      </w:r>
      <w:r w:rsidR="00577ED6">
        <w:rPr>
          <w:rStyle w:val="ac"/>
        </w:rPr>
        <w:footnoteReference w:id="51"/>
      </w:r>
      <w:r w:rsidRPr="00963C08">
        <w:rPr>
          <w:rFonts w:hint="eastAsia"/>
        </w:rPr>
        <w:t>。</w:t>
      </w:r>
      <w:r w:rsidRPr="00190BAD">
        <w:rPr>
          <w:rFonts w:hint="eastAsia"/>
        </w:rPr>
        <w:t>ほとんどの法的出版物はこの</w:t>
      </w:r>
      <w:r w:rsidR="00190BAD">
        <w:rPr>
          <w:rFonts w:hint="eastAsia"/>
        </w:rPr>
        <w:t>条項</w:t>
      </w:r>
      <w:r w:rsidRPr="00190BAD">
        <w:rPr>
          <w:rFonts w:hint="eastAsia"/>
        </w:rPr>
        <w:t>を強</w:t>
      </w:r>
      <w:r>
        <w:rPr>
          <w:rFonts w:hint="eastAsia"/>
        </w:rPr>
        <w:t>い自由と自律性の要素を持つ社会的権利と特徴付け</w:t>
      </w:r>
      <w:r w:rsidR="00190BAD">
        <w:rPr>
          <w:rFonts w:hint="eastAsia"/>
        </w:rPr>
        <w:t>た</w:t>
      </w:r>
      <w:r w:rsidR="00577ED6">
        <w:rPr>
          <w:rStyle w:val="ac"/>
        </w:rPr>
        <w:footnoteReference w:id="52"/>
      </w:r>
      <w:r>
        <w:t>。19条</w:t>
      </w:r>
      <w:r w:rsidR="00190BAD">
        <w:rPr>
          <w:rFonts w:hint="eastAsia"/>
        </w:rPr>
        <w:t>に関する論評</w:t>
      </w:r>
      <w:r>
        <w:t>を発表した欧州評議会人権</w:t>
      </w:r>
      <w:r w:rsidR="00190BAD">
        <w:rPr>
          <w:rFonts w:hint="eastAsia"/>
        </w:rPr>
        <w:t>局長</w:t>
      </w:r>
      <w:r>
        <w:t>、トー</w:t>
      </w:r>
      <w:r w:rsidR="00190BAD">
        <w:rPr>
          <w:rFonts w:hint="eastAsia"/>
        </w:rPr>
        <w:t>マス</w:t>
      </w:r>
      <w:r>
        <w:t>・ハンマーバーグ</w:t>
      </w:r>
      <w:r w:rsidR="00190BAD">
        <w:rPr>
          <w:rFonts w:hint="eastAsia"/>
        </w:rPr>
        <w:t>は次のように書いた。</w:t>
      </w:r>
    </w:p>
    <w:p w:rsidR="00963C08" w:rsidRDefault="00190BAD" w:rsidP="00190BAD">
      <w:pPr>
        <w:ind w:leftChars="405" w:left="850" w:firstLineChars="100" w:firstLine="210"/>
      </w:pPr>
      <w:r>
        <w:rPr>
          <w:rFonts w:hint="eastAsia"/>
        </w:rPr>
        <w:t>権利の</w:t>
      </w:r>
      <w:r w:rsidR="00963C08">
        <w:rPr>
          <w:rFonts w:hint="eastAsia"/>
        </w:rPr>
        <w:t>核となるのは、</w:t>
      </w:r>
      <w:r>
        <w:rPr>
          <w:rFonts w:hint="eastAsia"/>
        </w:rPr>
        <w:t>アクセスできない社会を背景にして、支援ニーズを理由にして障害のある人々にもたらされた、</w:t>
      </w:r>
      <w:r w:rsidR="00963C08">
        <w:rPr>
          <w:rFonts w:hint="eastAsia"/>
        </w:rPr>
        <w:t>壊滅的な孤立や</w:t>
      </w:r>
      <w:r>
        <w:rPr>
          <w:rFonts w:hint="eastAsia"/>
        </w:rPr>
        <w:t>生活のコントロールの</w:t>
      </w:r>
      <w:r w:rsidR="00963C08">
        <w:rPr>
          <w:rFonts w:hint="eastAsia"/>
        </w:rPr>
        <w:t>喪失を</w:t>
      </w:r>
      <w:r>
        <w:rPr>
          <w:rFonts w:hint="eastAsia"/>
        </w:rPr>
        <w:t>中和させる</w:t>
      </w:r>
      <w:r w:rsidR="00963C08">
        <w:rPr>
          <w:rFonts w:hint="eastAsia"/>
        </w:rPr>
        <w:t>こと</w:t>
      </w:r>
      <w:r w:rsidR="00F463C9">
        <w:rPr>
          <w:rFonts w:hint="eastAsia"/>
        </w:rPr>
        <w:t>である</w:t>
      </w:r>
      <w:r w:rsidR="00963C08">
        <w:rPr>
          <w:rFonts w:hint="eastAsia"/>
        </w:rPr>
        <w:t>。</w:t>
      </w:r>
      <w:r w:rsidR="00963C08">
        <w:t>「</w:t>
      </w:r>
      <w:r>
        <w:rPr>
          <w:rFonts w:hint="eastAsia"/>
        </w:rPr>
        <w:t>中和</w:t>
      </w:r>
      <w:r w:rsidR="00963C08">
        <w:t>」とは、住宅その他の領域におけるコミュニティアクセスへの障壁を取り除</w:t>
      </w:r>
      <w:r>
        <w:rPr>
          <w:rFonts w:hint="eastAsia"/>
        </w:rPr>
        <w:t>くことと、</w:t>
      </w:r>
      <w:r>
        <w:t>個別</w:t>
      </w:r>
      <w:r>
        <w:rPr>
          <w:rFonts w:hint="eastAsia"/>
        </w:rPr>
        <w:t>化された</w:t>
      </w:r>
      <w:r>
        <w:t>障害関連支援へのアクセス</w:t>
      </w:r>
      <w:r>
        <w:rPr>
          <w:rFonts w:hint="eastAsia"/>
        </w:rPr>
        <w:t>（</w:t>
      </w:r>
      <w:r>
        <w:t>多くの個人に</w:t>
      </w:r>
      <w:r>
        <w:rPr>
          <w:rFonts w:hint="eastAsia"/>
        </w:rPr>
        <w:t>とって</w:t>
      </w:r>
      <w:r w:rsidR="00963C08">
        <w:t>権利の享受</w:t>
      </w:r>
      <w:r>
        <w:rPr>
          <w:rFonts w:hint="eastAsia"/>
        </w:rPr>
        <w:t>を左右する）</w:t>
      </w:r>
      <w:r w:rsidR="00963C08">
        <w:t>を提供することの両方と理解されて</w:t>
      </w:r>
      <w:r w:rsidR="00D015D9">
        <w:t>いる</w:t>
      </w:r>
      <w:r w:rsidR="00577ED6">
        <w:rPr>
          <w:rStyle w:val="ac"/>
        </w:rPr>
        <w:footnoteReference w:id="53"/>
      </w:r>
      <w:r w:rsidR="00963C08">
        <w:t>。</w:t>
      </w:r>
    </w:p>
    <w:p w:rsidR="00963C08" w:rsidRDefault="00963C08" w:rsidP="00F463C9">
      <w:pPr>
        <w:ind w:firstLineChars="100" w:firstLine="210"/>
      </w:pPr>
      <w:r>
        <w:t>CRPD委員会は、</w:t>
      </w:r>
      <w:r w:rsidR="00190BAD">
        <w:rPr>
          <w:rFonts w:hint="eastAsia"/>
        </w:rPr>
        <w:t>自立</w:t>
      </w:r>
      <w:r>
        <w:t>生活を送る権利をまだ市民的</w:t>
      </w:r>
      <w:r w:rsidR="00190BAD">
        <w:rPr>
          <w:rFonts w:hint="eastAsia"/>
        </w:rPr>
        <w:t>権利とも</w:t>
      </w:r>
      <w:r>
        <w:t>社会的</w:t>
      </w:r>
      <w:r w:rsidR="00190BAD">
        <w:rPr>
          <w:rFonts w:hint="eastAsia"/>
        </w:rPr>
        <w:t>権利とも</w:t>
      </w:r>
      <w:r>
        <w:t>認めてい</w:t>
      </w:r>
      <w:r w:rsidR="00D015D9">
        <w:t>ない</w:t>
      </w:r>
      <w:r>
        <w:t>。CRPDには社会的、経済的および文化的権利に関する国家の責任に通常適用される漸進的実現条項が含まれて</w:t>
      </w:r>
      <w:r w:rsidR="00D015D9">
        <w:t>いる</w:t>
      </w:r>
      <w:r>
        <w:t>が、</w:t>
      </w:r>
      <w:r w:rsidR="00190BAD">
        <w:rPr>
          <w:rFonts w:hint="eastAsia"/>
        </w:rPr>
        <w:t>CRPDはまた、</w:t>
      </w:r>
      <w:r>
        <w:t>経済的、社会的および文化的権利でさえ公的国際法の状況によっては直ちに適用可能である</w:t>
      </w:r>
      <w:r w:rsidR="00190BAD">
        <w:rPr>
          <w:rFonts w:hint="eastAsia"/>
        </w:rPr>
        <w:t>ことを気づかせるものである</w:t>
      </w:r>
      <w:r w:rsidR="00577ED6">
        <w:rPr>
          <w:rStyle w:val="ac"/>
        </w:rPr>
        <w:footnoteReference w:id="54"/>
      </w:r>
      <w:r w:rsidR="00190BAD">
        <w:rPr>
          <w:rFonts w:hint="eastAsia"/>
        </w:rPr>
        <w:t>。</w:t>
      </w:r>
    </w:p>
    <w:p w:rsidR="00963C08" w:rsidRDefault="00963C08" w:rsidP="00963C08">
      <w:r>
        <w:t xml:space="preserve"> </w:t>
      </w:r>
    </w:p>
    <w:p w:rsidR="00963C08" w:rsidRPr="0041601D" w:rsidRDefault="00963C08" w:rsidP="00963C08">
      <w:pPr>
        <w:rPr>
          <w:rFonts w:ascii="ＭＳ ゴシック" w:eastAsia="ＭＳ ゴシック" w:hAnsi="ＭＳ ゴシック"/>
          <w:i/>
          <w:iCs/>
        </w:rPr>
      </w:pPr>
      <w:r w:rsidRPr="00190BAD">
        <w:rPr>
          <w:rFonts w:ascii="ＭＳ ゴシック" w:eastAsia="ＭＳ ゴシック" w:hAnsi="ＭＳ ゴシック"/>
          <w:i/>
          <w:iCs/>
        </w:rPr>
        <w:t>3.人権モデルは、人間</w:t>
      </w:r>
      <w:r w:rsidRPr="0041601D">
        <w:rPr>
          <w:rFonts w:ascii="ＭＳ ゴシック" w:eastAsia="ＭＳ ゴシック" w:hAnsi="ＭＳ ゴシック"/>
          <w:i/>
          <w:iCs/>
        </w:rPr>
        <w:t>の多様性の一部として</w:t>
      </w:r>
      <w:r w:rsidR="0041601D">
        <w:rPr>
          <w:rFonts w:ascii="ＭＳ ゴシック" w:eastAsia="ＭＳ ゴシック" w:hAnsi="ＭＳ ゴシック" w:hint="eastAsia"/>
          <w:i/>
          <w:iCs/>
        </w:rPr>
        <w:t>機能</w:t>
      </w:r>
      <w:r w:rsidRPr="0041601D">
        <w:rPr>
          <w:rFonts w:ascii="ＭＳ ゴシック" w:eastAsia="ＭＳ ゴシック" w:hAnsi="ＭＳ ゴシック"/>
          <w:i/>
          <w:iCs/>
        </w:rPr>
        <w:t>障害</w:t>
      </w:r>
      <w:r w:rsidR="0041601D">
        <w:rPr>
          <w:rFonts w:ascii="ＭＳ ゴシック" w:eastAsia="ＭＳ ゴシック" w:hAnsi="ＭＳ ゴシック" w:hint="eastAsia"/>
          <w:i/>
          <w:iCs/>
        </w:rPr>
        <w:t>を評価する</w:t>
      </w:r>
    </w:p>
    <w:p w:rsidR="00963C08" w:rsidRDefault="00963C08" w:rsidP="00963C08"/>
    <w:p w:rsidR="00963C08" w:rsidRDefault="00190BAD" w:rsidP="00F463C9">
      <w:pPr>
        <w:ind w:firstLineChars="100" w:firstLine="210"/>
      </w:pPr>
      <w:r>
        <w:rPr>
          <w:rFonts w:hint="eastAsia"/>
        </w:rPr>
        <w:t>第3の論点として、</w:t>
      </w:r>
      <w:r w:rsidR="00963C08">
        <w:rPr>
          <w:rFonts w:hint="eastAsia"/>
        </w:rPr>
        <w:t>障害の社会モデル</w:t>
      </w:r>
      <w:r>
        <w:rPr>
          <w:rFonts w:hint="eastAsia"/>
        </w:rPr>
        <w:t>で</w:t>
      </w:r>
      <w:r w:rsidR="00963C08">
        <w:rPr>
          <w:rFonts w:hint="eastAsia"/>
        </w:rPr>
        <w:t>は、</w:t>
      </w:r>
      <w:r>
        <w:rPr>
          <w:rFonts w:hint="eastAsia"/>
        </w:rPr>
        <w:t>障害者は、機能障害による</w:t>
      </w:r>
      <w:r w:rsidR="00963C08">
        <w:rPr>
          <w:rFonts w:hint="eastAsia"/>
        </w:rPr>
        <w:t>痛</w:t>
      </w:r>
      <w:r>
        <w:rPr>
          <w:rFonts w:hint="eastAsia"/>
        </w:rPr>
        <w:t>み</w:t>
      </w:r>
      <w:r w:rsidR="00963C08">
        <w:rPr>
          <w:rFonts w:hint="eastAsia"/>
        </w:rPr>
        <w:t>、生活の質の低下、早期死亡、および依存症に対処しなければならない可能性があるという事実を無視して</w:t>
      </w:r>
      <w:r w:rsidR="00D015D9">
        <w:rPr>
          <w:rFonts w:hint="eastAsia"/>
        </w:rPr>
        <w:t>いる</w:t>
      </w:r>
      <w:r w:rsidR="00963C08">
        <w:rPr>
          <w:rFonts w:hint="eastAsia"/>
        </w:rPr>
        <w:t>が、障害の人権モデルでは</w:t>
      </w:r>
      <w:r>
        <w:rPr>
          <w:rFonts w:hint="eastAsia"/>
        </w:rPr>
        <w:t>これを</w:t>
      </w:r>
      <w:r w:rsidR="00963C08">
        <w:rPr>
          <w:rFonts w:hint="eastAsia"/>
        </w:rPr>
        <w:t>認め</w:t>
      </w:r>
      <w:r>
        <w:rPr>
          <w:rFonts w:hint="eastAsia"/>
        </w:rPr>
        <w:t>、社会正義の理論の形成に際してこれらを考慮することを求めている。</w:t>
      </w:r>
    </w:p>
    <w:p w:rsidR="00963C08" w:rsidRDefault="00963C08" w:rsidP="00F463C9">
      <w:pPr>
        <w:ind w:firstLineChars="100" w:firstLine="210"/>
      </w:pPr>
      <w:r>
        <w:rPr>
          <w:rFonts w:hint="eastAsia"/>
        </w:rPr>
        <w:t>障害の社会モデルは、障害者の</w:t>
      </w:r>
      <w:r w:rsidR="00190BAD">
        <w:rPr>
          <w:rFonts w:hint="eastAsia"/>
        </w:rPr>
        <w:t>機能</w:t>
      </w:r>
      <w:r>
        <w:rPr>
          <w:rFonts w:hint="eastAsia"/>
        </w:rPr>
        <w:t>障害や痛みの経験、そしてそれが彼らの知識やアイデンティティにどのような影響を与えるかを無視していると批判されてきた。</w:t>
      </w:r>
      <w:r w:rsidR="00190BAD">
        <w:rPr>
          <w:rFonts w:hint="eastAsia"/>
        </w:rPr>
        <w:t>社会モデルの、</w:t>
      </w:r>
      <w:r w:rsidR="00D015D9">
        <w:rPr>
          <w:rFonts w:hint="eastAsia"/>
        </w:rPr>
        <w:t>機能障害</w:t>
      </w:r>
      <w:r>
        <w:rPr>
          <w:rFonts w:hint="eastAsia"/>
        </w:rPr>
        <w:t>と障害の二分法ならびに唯物論的</w:t>
      </w:r>
      <w:r w:rsidR="00190BAD">
        <w:rPr>
          <w:rFonts w:hint="eastAsia"/>
        </w:rPr>
        <w:t>な</w:t>
      </w:r>
      <w:r>
        <w:rPr>
          <w:rFonts w:hint="eastAsia"/>
        </w:rPr>
        <w:t>焦点</w:t>
      </w:r>
      <w:r w:rsidR="00190BAD">
        <w:rPr>
          <w:rFonts w:hint="eastAsia"/>
        </w:rPr>
        <w:t>の当て方</w:t>
      </w:r>
      <w:r>
        <w:rPr>
          <w:rFonts w:hint="eastAsia"/>
        </w:rPr>
        <w:t>は、特にジェニー・モリスのような</w:t>
      </w:r>
      <w:r w:rsidR="00190BAD">
        <w:rPr>
          <w:rFonts w:hint="eastAsia"/>
        </w:rPr>
        <w:t>障害のある</w:t>
      </w:r>
      <w:r>
        <w:rPr>
          <w:rFonts w:hint="eastAsia"/>
        </w:rPr>
        <w:t>フェミニスト作家によって批判されてきた。彼女の有名な本「偏見に</w:t>
      </w:r>
      <w:r w:rsidR="00190BAD">
        <w:rPr>
          <w:rFonts w:hint="eastAsia"/>
        </w:rPr>
        <w:t>対抗するプライド</w:t>
      </w:r>
      <w:r>
        <w:rPr>
          <w:rFonts w:hint="eastAsia"/>
        </w:rPr>
        <w:t>」で、彼女はこう主張している。</w:t>
      </w:r>
    </w:p>
    <w:p w:rsidR="00963C08" w:rsidRDefault="00963C08" w:rsidP="00190BAD">
      <w:pPr>
        <w:ind w:leftChars="405" w:left="850" w:firstLineChars="100" w:firstLine="210"/>
      </w:pPr>
      <w:r>
        <w:rPr>
          <w:rFonts w:hint="eastAsia"/>
        </w:rPr>
        <w:t>しかし、身体的な違いや制限は</w:t>
      </w:r>
      <w:r w:rsidR="00190BAD">
        <w:rPr>
          <w:rFonts w:hint="eastAsia"/>
        </w:rPr>
        <w:t>「</w:t>
      </w:r>
      <w:r>
        <w:rPr>
          <w:rFonts w:hint="eastAsia"/>
        </w:rPr>
        <w:t>完全に</w:t>
      </w:r>
      <w:r w:rsidR="00190BAD">
        <w:rPr>
          <w:rFonts w:hint="eastAsia"/>
        </w:rPr>
        <w:t>」</w:t>
      </w:r>
      <w:r>
        <w:rPr>
          <w:rFonts w:hint="eastAsia"/>
        </w:rPr>
        <w:t>社会的</w:t>
      </w:r>
      <w:r w:rsidR="00190BAD">
        <w:rPr>
          <w:rFonts w:hint="eastAsia"/>
        </w:rPr>
        <w:t>につくられる</w:t>
      </w:r>
      <w:r>
        <w:rPr>
          <w:rFonts w:hint="eastAsia"/>
        </w:rPr>
        <w:t>と主張し</w:t>
      </w:r>
      <w:r w:rsidR="00190BAD">
        <w:rPr>
          <w:rFonts w:hint="eastAsia"/>
        </w:rPr>
        <w:t>つつ</w:t>
      </w:r>
      <w:r>
        <w:rPr>
          <w:rFonts w:hint="eastAsia"/>
        </w:rPr>
        <w:t>、障害の社会モデルは私たち自身の体の経験を否定する傾向が</w:t>
      </w:r>
      <w:r w:rsidR="00D015D9">
        <w:rPr>
          <w:rFonts w:hint="eastAsia"/>
        </w:rPr>
        <w:t>ある</w:t>
      </w:r>
      <w:r>
        <w:rPr>
          <w:rFonts w:hint="eastAsia"/>
        </w:rPr>
        <w:t>。環境の障壁や社会的態度は、私たちの障害経験の重要な部分であり、実際に私たち</w:t>
      </w:r>
      <w:r w:rsidR="00190BAD">
        <w:rPr>
          <w:rFonts w:hint="eastAsia"/>
        </w:rPr>
        <w:t>の能力を奪っているが、そのことが（社会モデルでは）</w:t>
      </w:r>
      <w:r>
        <w:rPr>
          <w:rFonts w:hint="eastAsia"/>
        </w:rPr>
        <w:t>身体的または知的な制限、病気、</w:t>
      </w:r>
      <w:r w:rsidR="00190BAD">
        <w:rPr>
          <w:rFonts w:hint="eastAsia"/>
        </w:rPr>
        <w:t>死の恐怖</w:t>
      </w:r>
      <w:r>
        <w:rPr>
          <w:rFonts w:hint="eastAsia"/>
        </w:rPr>
        <w:t>についての個人的経験</w:t>
      </w:r>
      <w:r w:rsidR="00190BAD">
        <w:rPr>
          <w:rFonts w:hint="eastAsia"/>
        </w:rPr>
        <w:t>の</w:t>
      </w:r>
      <w:r>
        <w:rPr>
          <w:rFonts w:hint="eastAsia"/>
        </w:rPr>
        <w:t>否定を示唆</w:t>
      </w:r>
      <w:r w:rsidR="00190BAD">
        <w:rPr>
          <w:rFonts w:hint="eastAsia"/>
        </w:rPr>
        <w:t>することとなっている。</w:t>
      </w:r>
      <w:r>
        <w:rPr>
          <w:rFonts w:hint="eastAsia"/>
        </w:rPr>
        <w:t>フェミニストの視点はこ</w:t>
      </w:r>
      <w:r w:rsidR="00190BAD">
        <w:rPr>
          <w:rFonts w:hint="eastAsia"/>
        </w:rPr>
        <w:t>の</w:t>
      </w:r>
      <w:r>
        <w:rPr>
          <w:rFonts w:hint="eastAsia"/>
        </w:rPr>
        <w:t>是正を助けることができ、そうすることで障害のある男性と障害のある女性の両方の経験</w:t>
      </w:r>
      <w:r w:rsidR="00190BAD">
        <w:rPr>
          <w:rFonts w:hint="eastAsia"/>
        </w:rPr>
        <w:t>を表現できるようにする</w:t>
      </w:r>
      <w:r w:rsidR="00E049EA">
        <w:rPr>
          <w:rStyle w:val="ac"/>
        </w:rPr>
        <w:footnoteReference w:id="55"/>
      </w:r>
      <w:r w:rsidR="00190BAD">
        <w:rPr>
          <w:rFonts w:hint="eastAsia"/>
        </w:rPr>
        <w:t>。</w:t>
      </w:r>
    </w:p>
    <w:p w:rsidR="00963C08" w:rsidRDefault="00963C08" w:rsidP="00F463C9">
      <w:pPr>
        <w:ind w:firstLineChars="100" w:firstLine="210"/>
      </w:pPr>
      <w:r>
        <w:rPr>
          <w:rFonts w:hint="eastAsia"/>
        </w:rPr>
        <w:t>後の出版物で、彼女はこう書いている：</w:t>
      </w:r>
    </w:p>
    <w:p w:rsidR="00963C08" w:rsidRDefault="00963C08" w:rsidP="00190BAD">
      <w:pPr>
        <w:ind w:leftChars="405" w:left="850" w:firstLineChars="100" w:firstLine="210"/>
      </w:pPr>
      <w:r>
        <w:rPr>
          <w:rFonts w:hint="eastAsia"/>
        </w:rPr>
        <w:t>私たちが障害と機能障害を明確に分けると、私たちは私たちの生活や機会に</w:t>
      </w:r>
      <w:r w:rsidR="00190BAD">
        <w:rPr>
          <w:rFonts w:hint="eastAsia"/>
        </w:rPr>
        <w:t>大きく</w:t>
      </w:r>
      <w:r>
        <w:rPr>
          <w:rFonts w:hint="eastAsia"/>
        </w:rPr>
        <w:t>影響</w:t>
      </w:r>
      <w:r w:rsidR="00190BAD">
        <w:rPr>
          <w:rFonts w:hint="eastAsia"/>
        </w:rPr>
        <w:t>す</w:t>
      </w:r>
      <w:r>
        <w:rPr>
          <w:rFonts w:hint="eastAsia"/>
        </w:rPr>
        <w:t>る</w:t>
      </w:r>
      <w:r w:rsidR="00190BAD">
        <w:rPr>
          <w:rFonts w:hint="eastAsia"/>
        </w:rPr>
        <w:t>有害な</w:t>
      </w:r>
      <w:r>
        <w:rPr>
          <w:rFonts w:hint="eastAsia"/>
        </w:rPr>
        <w:t>障壁や態度に反対して運動</w:t>
      </w:r>
      <w:r w:rsidR="00D015D9">
        <w:rPr>
          <w:rFonts w:hint="eastAsia"/>
        </w:rPr>
        <w:t>する</w:t>
      </w:r>
      <w:r w:rsidR="00190BAD">
        <w:rPr>
          <w:rFonts w:hint="eastAsia"/>
        </w:rPr>
        <w:t>こととなる</w:t>
      </w:r>
      <w:r>
        <w:rPr>
          <w:rFonts w:hint="eastAsia"/>
        </w:rPr>
        <w:t>。しかし、これは私達の体の経験を無視することを正当化するものではあり</w:t>
      </w:r>
      <w:r w:rsidR="00190BAD">
        <w:rPr>
          <w:rFonts w:hint="eastAsia"/>
        </w:rPr>
        <w:t>え</w:t>
      </w:r>
      <w:r w:rsidR="00D015D9">
        <w:rPr>
          <w:rFonts w:hint="eastAsia"/>
        </w:rPr>
        <w:t>ない</w:t>
      </w:r>
      <w:r>
        <w:rPr>
          <w:rFonts w:hint="eastAsia"/>
        </w:rPr>
        <w:t>。</w:t>
      </w:r>
      <w:r w:rsidR="00190BAD">
        <w:rPr>
          <w:rFonts w:hint="eastAsia"/>
        </w:rPr>
        <w:t>私たちの体は異常だ、哀れだ、そんな体で生きる意味はない、と考えられてきたのだから、そのよう</w:t>
      </w:r>
      <w:r w:rsidR="003F0BF3">
        <w:rPr>
          <w:rFonts w:hint="eastAsia"/>
        </w:rPr>
        <w:t>な</w:t>
      </w:r>
      <w:r w:rsidR="00190BAD">
        <w:rPr>
          <w:rFonts w:hint="eastAsia"/>
        </w:rPr>
        <w:t>体の経験を無視したいと思う圧力が大きいのではあるが。</w:t>
      </w:r>
      <w:r>
        <w:t xml:space="preserve"> ...この偏見に直面して、自律性は運命ではなく、</w:t>
      </w:r>
      <w:r w:rsidR="00190BAD">
        <w:rPr>
          <w:rFonts w:hint="eastAsia"/>
        </w:rPr>
        <w:t>この自律性は、</w:t>
      </w:r>
      <w:r>
        <w:t>生活の質を決定する「</w:t>
      </w:r>
      <w:r w:rsidR="00190BAD">
        <w:rPr>
          <w:rFonts w:hint="eastAsia"/>
        </w:rPr>
        <w:t>そこにある</w:t>
      </w:r>
      <w:r>
        <w:t>」</w:t>
      </w:r>
      <w:r w:rsidR="00190BAD">
        <w:rPr>
          <w:rFonts w:hint="eastAsia"/>
        </w:rPr>
        <w:t>有害な障壁</w:t>
      </w:r>
      <w:r>
        <w:t>であると主張することが非常に重要</w:t>
      </w:r>
      <w:r w:rsidR="00F463C9">
        <w:t>である</w:t>
      </w:r>
      <w:r>
        <w:t>。しかし、「典型的な」障害者は、</w:t>
      </w:r>
      <w:r w:rsidR="00190BAD">
        <w:rPr>
          <w:rFonts w:hint="eastAsia"/>
        </w:rPr>
        <w:t>健康で、病弱でなく、物理的にアクセシブルな</w:t>
      </w:r>
      <w:r>
        <w:t>環境のみ</w:t>
      </w:r>
      <w:r w:rsidR="00190BAD">
        <w:rPr>
          <w:rFonts w:hint="eastAsia"/>
        </w:rPr>
        <w:t>がニーズである</w:t>
      </w:r>
      <w:r>
        <w:t>車椅子の若い男性であるという考え</w:t>
      </w:r>
      <w:r w:rsidR="00190BAD">
        <w:rPr>
          <w:rFonts w:hint="eastAsia"/>
        </w:rPr>
        <w:t>方に、ときどき与（くみ）してしまったのである</w:t>
      </w:r>
      <w:r w:rsidR="00E049EA">
        <w:rPr>
          <w:rStyle w:val="ac"/>
        </w:rPr>
        <w:footnoteReference w:id="56"/>
      </w:r>
      <w:r w:rsidR="00190BAD">
        <w:rPr>
          <w:rFonts w:hint="eastAsia"/>
        </w:rPr>
        <w:t>。</w:t>
      </w:r>
    </w:p>
    <w:p w:rsidR="00963C08" w:rsidRDefault="00963C08" w:rsidP="00F463C9">
      <w:pPr>
        <w:ind w:firstLineChars="100" w:firstLine="210"/>
      </w:pPr>
      <w:r>
        <w:rPr>
          <w:rFonts w:hint="eastAsia"/>
        </w:rPr>
        <w:t>他の作家</w:t>
      </w:r>
      <w:r w:rsidR="00190BAD">
        <w:rPr>
          <w:rFonts w:hint="eastAsia"/>
        </w:rPr>
        <w:t>も</w:t>
      </w:r>
      <w:r>
        <w:rPr>
          <w:rFonts w:hint="eastAsia"/>
        </w:rPr>
        <w:t>この批判の道</w:t>
      </w:r>
      <w:r w:rsidR="00190BAD">
        <w:rPr>
          <w:rFonts w:hint="eastAsia"/>
        </w:rPr>
        <w:t>に続いた</w:t>
      </w:r>
      <w:r>
        <w:rPr>
          <w:rFonts w:hint="eastAsia"/>
        </w:rPr>
        <w:t>。障害</w:t>
      </w:r>
      <w:r w:rsidR="00190BAD">
        <w:rPr>
          <w:rFonts w:hint="eastAsia"/>
        </w:rPr>
        <w:t>学</w:t>
      </w:r>
      <w:r>
        <w:rPr>
          <w:rFonts w:hint="eastAsia"/>
        </w:rPr>
        <w:t>に談話分析</w:t>
      </w:r>
      <w:r w:rsidR="00190BAD">
        <w:rPr>
          <w:rFonts w:hint="eastAsia"/>
        </w:rPr>
        <w:t>（</w:t>
      </w:r>
      <w:r w:rsidR="00190BAD" w:rsidRPr="00190BAD">
        <w:t>discourse analysis</w:t>
      </w:r>
      <w:r w:rsidR="00190BAD">
        <w:rPr>
          <w:rFonts w:hint="eastAsia"/>
        </w:rPr>
        <w:t>）</w:t>
      </w:r>
      <w:r>
        <w:rPr>
          <w:rFonts w:hint="eastAsia"/>
        </w:rPr>
        <w:t>をもたらした</w:t>
      </w:r>
      <w:r w:rsidR="00190BAD">
        <w:rPr>
          <w:rFonts w:hint="eastAsia"/>
        </w:rPr>
        <w:t>マリアン・コーカー</w:t>
      </w:r>
      <w:r>
        <w:t>と</w:t>
      </w:r>
      <w:r w:rsidR="00190BAD">
        <w:rPr>
          <w:rFonts w:hint="eastAsia"/>
        </w:rPr>
        <w:t>サリー・フレンチ</w:t>
      </w:r>
      <w:r>
        <w:t>は、</w:t>
      </w:r>
      <w:r w:rsidR="00190BAD">
        <w:rPr>
          <w:rFonts w:hint="eastAsia"/>
        </w:rPr>
        <w:t>機能</w:t>
      </w:r>
      <w:r>
        <w:t>障害の重要性を無視することに加えて、社会モデルは、</w:t>
      </w:r>
      <w:r w:rsidR="00190BAD">
        <w:rPr>
          <w:rFonts w:hint="eastAsia"/>
        </w:rPr>
        <w:t>「機能</w:t>
      </w:r>
      <w:r>
        <w:t>障害と障害</w:t>
      </w:r>
      <w:r w:rsidR="00190BAD">
        <w:rPr>
          <w:rFonts w:hint="eastAsia"/>
        </w:rPr>
        <w:t>（物質的そして多面的・社会的に生まれる）</w:t>
      </w:r>
      <w:r>
        <w:t>の間の相互構成的な関係を概念的に説明</w:t>
      </w:r>
      <w:r w:rsidR="00190BAD">
        <w:rPr>
          <w:rFonts w:hint="eastAsia"/>
        </w:rPr>
        <w:t>」</w:t>
      </w:r>
      <w:r>
        <w:t>できない</w:t>
      </w:r>
      <w:r w:rsidR="00190BAD">
        <w:rPr>
          <w:rFonts w:hint="eastAsia"/>
        </w:rPr>
        <w:t>、という</w:t>
      </w:r>
      <w:r w:rsidR="00E049EA">
        <w:rPr>
          <w:rStyle w:val="ac"/>
        </w:rPr>
        <w:footnoteReference w:id="57"/>
      </w:r>
      <w:r>
        <w:t>。他の障害学者たちもこの批判を共有してき</w:t>
      </w:r>
      <w:r w:rsidR="00F463C9">
        <w:t>た</w:t>
      </w:r>
      <w:r>
        <w:t>。</w:t>
      </w:r>
      <w:r w:rsidR="00190BAD">
        <w:rPr>
          <w:rFonts w:hint="eastAsia"/>
        </w:rPr>
        <w:t>ビル・ヒュー</w:t>
      </w:r>
      <w:r>
        <w:t>と</w:t>
      </w:r>
      <w:r w:rsidR="00190BAD">
        <w:rPr>
          <w:rFonts w:hint="eastAsia"/>
        </w:rPr>
        <w:t>ケビン・パターソン</w:t>
      </w:r>
      <w:r>
        <w:t>は、この</w:t>
      </w:r>
      <w:r w:rsidR="00190BAD">
        <w:rPr>
          <w:rFonts w:hint="eastAsia"/>
        </w:rPr>
        <w:t>機能</w:t>
      </w:r>
      <w:r>
        <w:t>障害</w:t>
      </w:r>
      <w:r w:rsidR="00190BAD">
        <w:rPr>
          <w:rFonts w:hint="eastAsia"/>
        </w:rPr>
        <w:t>・</w:t>
      </w:r>
      <w:r>
        <w:t>障害の二分法</w:t>
      </w:r>
      <w:r w:rsidR="00190BAD">
        <w:rPr>
          <w:rFonts w:hint="eastAsia"/>
        </w:rPr>
        <w:t>のジレンマ</w:t>
      </w:r>
      <w:r>
        <w:t>への対応として、ポスト構造主義と現象学に基づく</w:t>
      </w:r>
      <w:r w:rsidR="00190BAD">
        <w:rPr>
          <w:rFonts w:hint="eastAsia"/>
        </w:rPr>
        <w:t>機能</w:t>
      </w:r>
      <w:r>
        <w:t>障害の社会学を発展させることを提案した</w:t>
      </w:r>
      <w:r w:rsidR="00E049EA">
        <w:rPr>
          <w:rStyle w:val="ac"/>
        </w:rPr>
        <w:footnoteReference w:id="58"/>
      </w:r>
      <w:r>
        <w:t>。</w:t>
      </w:r>
      <w:r w:rsidR="00190BAD">
        <w:rPr>
          <w:rFonts w:hint="eastAsia"/>
        </w:rPr>
        <w:t>トム・シェイクスピア</w:t>
      </w:r>
      <w:r>
        <w:t>は、両者が社会的に構築され、相互に</w:t>
      </w:r>
      <w:r>
        <w:rPr>
          <w:rFonts w:hint="eastAsia"/>
        </w:rPr>
        <w:t>結びついているという</w:t>
      </w:r>
      <w:r w:rsidR="00190BAD">
        <w:rPr>
          <w:rFonts w:hint="eastAsia"/>
        </w:rPr>
        <w:t>こと</w:t>
      </w:r>
      <w:r>
        <w:rPr>
          <w:rFonts w:hint="eastAsia"/>
        </w:rPr>
        <w:t>に基づいて二分法に挑戦した</w:t>
      </w:r>
      <w:r w:rsidR="00E049EA">
        <w:rPr>
          <w:rStyle w:val="ac"/>
        </w:rPr>
        <w:footnoteReference w:id="59"/>
      </w:r>
      <w:r>
        <w:rPr>
          <w:rFonts w:hint="eastAsia"/>
        </w:rPr>
        <w:t>。</w:t>
      </w:r>
      <w:r>
        <w:t>社会モデルの創設者および支持者は、障害の社会モデルが決して</w:t>
      </w:r>
      <w:r w:rsidR="00D015D9">
        <w:t>機能障害</w:t>
      </w:r>
      <w:r>
        <w:t>を無視することを</w:t>
      </w:r>
      <w:r w:rsidR="00190BAD">
        <w:rPr>
          <w:rFonts w:hint="eastAsia"/>
        </w:rPr>
        <w:t>意図</w:t>
      </w:r>
      <w:r>
        <w:t>していないことを強調してきた。</w:t>
      </w:r>
      <w:r w:rsidR="00190BAD">
        <w:rPr>
          <w:rFonts w:hint="eastAsia"/>
        </w:rPr>
        <w:t>マイケル・オリバー</w:t>
      </w:r>
      <w:r>
        <w:t>は次のように述べて</w:t>
      </w:r>
      <w:r w:rsidR="00D015D9">
        <w:t>いる</w:t>
      </w:r>
      <w:r w:rsidR="00190BAD">
        <w:rPr>
          <w:rFonts w:hint="eastAsia"/>
        </w:rPr>
        <w:t>。</w:t>
      </w:r>
      <w:r>
        <w:t>「</w:t>
      </w:r>
      <w:r w:rsidR="00D015D9">
        <w:t>機能障害</w:t>
      </w:r>
      <w:r>
        <w:t>の痛みの否定は、実際にはまったく否定では</w:t>
      </w:r>
      <w:r w:rsidR="00D015D9">
        <w:t>ない</w:t>
      </w:r>
      <w:r>
        <w:t>。</w:t>
      </w:r>
      <w:r w:rsidR="00190BAD">
        <w:rPr>
          <w:rFonts w:hint="eastAsia"/>
        </w:rPr>
        <w:t>むしろ</w:t>
      </w:r>
      <w:r>
        <w:t>それは</w:t>
      </w:r>
      <w:r w:rsidR="00190BAD">
        <w:rPr>
          <w:rFonts w:hint="eastAsia"/>
        </w:rPr>
        <w:t>、</w:t>
      </w:r>
      <w:r>
        <w:t>専門的および医学的治療</w:t>
      </w:r>
      <w:r w:rsidR="00190BAD">
        <w:rPr>
          <w:rFonts w:hint="eastAsia"/>
        </w:rPr>
        <w:t>によってではなく、</w:t>
      </w:r>
      <w:r>
        <w:t>集団的行動</w:t>
      </w:r>
      <w:r w:rsidR="00190BAD">
        <w:rPr>
          <w:rFonts w:hint="eastAsia"/>
        </w:rPr>
        <w:t>によって</w:t>
      </w:r>
      <w:r>
        <w:t>変化</w:t>
      </w:r>
      <w:r w:rsidR="00190BAD">
        <w:rPr>
          <w:rFonts w:hint="eastAsia"/>
        </w:rPr>
        <w:t>させられる</w:t>
      </w:r>
      <w:r>
        <w:t>問題を</w:t>
      </w:r>
      <w:r w:rsidR="00190BAD">
        <w:rPr>
          <w:rFonts w:hint="eastAsia"/>
        </w:rPr>
        <w:t>とりあげて</w:t>
      </w:r>
      <w:r>
        <w:t>対処する</w:t>
      </w:r>
      <w:r w:rsidR="00190BAD">
        <w:rPr>
          <w:rFonts w:hint="eastAsia"/>
        </w:rPr>
        <w:t>プラグマチック</w:t>
      </w:r>
      <w:r>
        <w:t>な試みで</w:t>
      </w:r>
      <w:r w:rsidR="00190BAD">
        <w:rPr>
          <w:rFonts w:hint="eastAsia"/>
        </w:rPr>
        <w:t>あった。」</w:t>
      </w:r>
      <w:r w:rsidR="00E049EA">
        <w:rPr>
          <w:rStyle w:val="ac"/>
        </w:rPr>
        <w:footnoteReference w:id="60"/>
      </w:r>
    </w:p>
    <w:p w:rsidR="00963C08" w:rsidRDefault="00963C08" w:rsidP="00F463C9">
      <w:pPr>
        <w:ind w:firstLineChars="100" w:firstLine="210"/>
      </w:pPr>
      <w:r>
        <w:rPr>
          <w:rFonts w:hint="eastAsia"/>
        </w:rPr>
        <w:t>しかし彼はまた、社会モデルは</w:t>
      </w:r>
      <w:r w:rsidR="00190BAD">
        <w:rPr>
          <w:rFonts w:hint="eastAsia"/>
        </w:rPr>
        <w:t>障害の社会理論ではない、後者が形成されればそこには</w:t>
      </w:r>
      <w:r w:rsidR="00D015D9">
        <w:rPr>
          <w:rFonts w:hint="eastAsia"/>
        </w:rPr>
        <w:t>機能障害</w:t>
      </w:r>
      <w:r>
        <w:rPr>
          <w:rFonts w:hint="eastAsia"/>
        </w:rPr>
        <w:t>の理論</w:t>
      </w:r>
      <w:r w:rsidR="00190BAD">
        <w:rPr>
          <w:rFonts w:hint="eastAsia"/>
        </w:rPr>
        <w:t>が</w:t>
      </w:r>
      <w:r>
        <w:rPr>
          <w:rFonts w:hint="eastAsia"/>
        </w:rPr>
        <w:t>含</w:t>
      </w:r>
      <w:r w:rsidR="00190BAD">
        <w:rPr>
          <w:rFonts w:hint="eastAsia"/>
        </w:rPr>
        <w:t>まれる</w:t>
      </w:r>
      <w:r>
        <w:rPr>
          <w:rFonts w:hint="eastAsia"/>
        </w:rPr>
        <w:t>べきであると主張し</w:t>
      </w:r>
      <w:r w:rsidR="00190BAD">
        <w:rPr>
          <w:rFonts w:hint="eastAsia"/>
        </w:rPr>
        <w:t>た</w:t>
      </w:r>
      <w:r w:rsidR="00E049EA">
        <w:rPr>
          <w:rStyle w:val="ac"/>
        </w:rPr>
        <w:footnoteReference w:id="61"/>
      </w:r>
      <w:r>
        <w:rPr>
          <w:rFonts w:hint="eastAsia"/>
        </w:rPr>
        <w:t>。</w:t>
      </w:r>
      <w:r w:rsidR="00190BAD">
        <w:rPr>
          <w:rFonts w:hint="eastAsia"/>
        </w:rPr>
        <w:t xml:space="preserve">　</w:t>
      </w:r>
    </w:p>
    <w:p w:rsidR="00963C08" w:rsidRDefault="00963C08" w:rsidP="00804677">
      <w:pPr>
        <w:ind w:firstLineChars="100" w:firstLine="210"/>
      </w:pPr>
      <w:r w:rsidRPr="00804677">
        <w:rPr>
          <w:rFonts w:hint="eastAsia"/>
        </w:rPr>
        <w:t>障害の人権モデル</w:t>
      </w:r>
      <w:r>
        <w:rPr>
          <w:rFonts w:hint="eastAsia"/>
        </w:rPr>
        <w:t>はこの議論にまだ</w:t>
      </w:r>
      <w:r w:rsidR="00804677">
        <w:rPr>
          <w:rFonts w:hint="eastAsia"/>
        </w:rPr>
        <w:t>登場していないので、</w:t>
      </w:r>
      <w:r>
        <w:rPr>
          <w:rFonts w:hint="eastAsia"/>
        </w:rPr>
        <w:t>私の主張を</w:t>
      </w:r>
      <w:r w:rsidR="00804677">
        <w:rPr>
          <w:rFonts w:hint="eastAsia"/>
        </w:rPr>
        <w:t>弁護するのは</w:t>
      </w:r>
      <w:r>
        <w:rPr>
          <w:rFonts w:hint="eastAsia"/>
        </w:rPr>
        <w:t>難しい。</w:t>
      </w:r>
      <w:r w:rsidR="00804677">
        <w:rPr>
          <w:rFonts w:hint="eastAsia"/>
        </w:rPr>
        <w:t>起草者たちは</w:t>
      </w:r>
      <w:r w:rsidR="00D015D9">
        <w:rPr>
          <w:rFonts w:hint="eastAsia"/>
        </w:rPr>
        <w:t>機能障害</w:t>
      </w:r>
      <w:r w:rsidR="00804677">
        <w:rPr>
          <w:rFonts w:hint="eastAsia"/>
        </w:rPr>
        <w:t>をどのような形であれ</w:t>
      </w:r>
      <w:r>
        <w:rPr>
          <w:rFonts w:hint="eastAsia"/>
        </w:rPr>
        <w:t>否定的な</w:t>
      </w:r>
      <w:r w:rsidR="00804677">
        <w:rPr>
          <w:rFonts w:hint="eastAsia"/>
        </w:rPr>
        <w:t>ものと判断しないと強く決めていたので、</w:t>
      </w:r>
      <w:r>
        <w:t>CRPDは</w:t>
      </w:r>
      <w:r w:rsidR="00804677">
        <w:rPr>
          <w:rFonts w:hint="eastAsia"/>
        </w:rPr>
        <w:t>、</w:t>
      </w:r>
      <w:r w:rsidR="00D015D9">
        <w:t>機能障害</w:t>
      </w:r>
      <w:r w:rsidR="00804677">
        <w:rPr>
          <w:rFonts w:hint="eastAsia"/>
        </w:rPr>
        <w:t>を</w:t>
      </w:r>
      <w:r>
        <w:t>障害者の生活の質</w:t>
      </w:r>
      <w:r w:rsidR="00804677">
        <w:rPr>
          <w:rFonts w:hint="eastAsia"/>
        </w:rPr>
        <w:t>にマイナスの影響をもたらす可能性のあるものとしては描いていない。</w:t>
      </w:r>
      <w:r>
        <w:t>しかし</w:t>
      </w:r>
      <w:r w:rsidR="00804677">
        <w:rPr>
          <w:rFonts w:hint="eastAsia"/>
        </w:rPr>
        <w:t>前文で</w:t>
      </w:r>
      <w:r>
        <w:t>支援</w:t>
      </w:r>
      <w:r w:rsidR="00804677">
        <w:rPr>
          <w:rFonts w:hint="eastAsia"/>
        </w:rPr>
        <w:t>ニーズ</w:t>
      </w:r>
      <w:r>
        <w:t>がより</w:t>
      </w:r>
      <w:r w:rsidR="00804677">
        <w:rPr>
          <w:rFonts w:hint="eastAsia"/>
        </w:rPr>
        <w:t>大きい</w:t>
      </w:r>
      <w:r>
        <w:t>人々</w:t>
      </w:r>
      <w:r w:rsidR="00804677">
        <w:rPr>
          <w:rFonts w:hint="eastAsia"/>
        </w:rPr>
        <w:t>についてふれ</w:t>
      </w:r>
      <w:r w:rsidR="00204D5B">
        <w:rPr>
          <w:rStyle w:val="ac"/>
        </w:rPr>
        <w:footnoteReference w:id="62"/>
      </w:r>
      <w:r w:rsidR="00804677">
        <w:rPr>
          <w:rFonts w:hint="eastAsia"/>
        </w:rPr>
        <w:t>、彼らが</w:t>
      </w:r>
      <w:r>
        <w:t>取り残されてはならない</w:t>
      </w:r>
      <w:r w:rsidR="00804677">
        <w:rPr>
          <w:rFonts w:hint="eastAsia"/>
        </w:rPr>
        <w:t>とし、</w:t>
      </w:r>
      <w:r>
        <w:t>CRPD</w:t>
      </w:r>
      <w:r w:rsidR="00804677">
        <w:rPr>
          <w:rFonts w:hint="eastAsia"/>
        </w:rPr>
        <w:t>は</w:t>
      </w:r>
      <w:r>
        <w:t>主流化に「適している」人々だけでなくすべての障害者</w:t>
      </w:r>
      <w:r w:rsidR="00804677">
        <w:rPr>
          <w:rFonts w:hint="eastAsia"/>
        </w:rPr>
        <w:t>の</w:t>
      </w:r>
      <w:r>
        <w:t>保護を意図していること</w:t>
      </w:r>
      <w:r w:rsidR="00804677">
        <w:rPr>
          <w:rFonts w:hint="eastAsia"/>
        </w:rPr>
        <w:t>に注意を促している。生活の重要な要素である</w:t>
      </w:r>
      <w:r w:rsidR="00D015D9">
        <w:t>機能障害</w:t>
      </w:r>
      <w:r>
        <w:t>は、</w:t>
      </w:r>
      <w:r w:rsidR="00804677">
        <w:rPr>
          <w:rFonts w:hint="eastAsia"/>
        </w:rPr>
        <w:t>明示的な言及ではないが、</w:t>
      </w:r>
      <w:r>
        <w:t>条約の</w:t>
      </w:r>
      <w:r w:rsidR="00804677">
        <w:t>原則</w:t>
      </w:r>
      <w:r w:rsidR="00804677">
        <w:rPr>
          <w:rFonts w:hint="eastAsia"/>
        </w:rPr>
        <w:t>のうち</w:t>
      </w:r>
      <w:r>
        <w:t>2つでも認識されて</w:t>
      </w:r>
      <w:r w:rsidR="00D015D9">
        <w:t>いる</w:t>
      </w:r>
      <w:r w:rsidR="00804677">
        <w:rPr>
          <w:rFonts w:hint="eastAsia"/>
        </w:rPr>
        <w:t>。</w:t>
      </w:r>
      <w:r>
        <w:rPr>
          <w:rFonts w:hint="eastAsia"/>
        </w:rPr>
        <w:t>第</w:t>
      </w:r>
      <w:r>
        <w:t>3条（a）は「人の固有の尊厳</w:t>
      </w:r>
      <w:r w:rsidR="00804677">
        <w:t>……</w:t>
      </w:r>
      <w:r>
        <w:t>を尊重すること」を導入し、（d）は「</w:t>
      </w:r>
      <w:r w:rsidR="00804677">
        <w:rPr>
          <w:rFonts w:hint="eastAsia"/>
        </w:rPr>
        <w:t>差異の尊重、ならびに人間</w:t>
      </w:r>
      <w:r>
        <w:t>の多様性</w:t>
      </w:r>
      <w:r w:rsidR="00804677">
        <w:rPr>
          <w:rFonts w:hint="eastAsia"/>
        </w:rPr>
        <w:t>の一部</w:t>
      </w:r>
      <w:r>
        <w:t>および</w:t>
      </w:r>
      <w:r w:rsidR="00804677">
        <w:rPr>
          <w:rFonts w:hint="eastAsia"/>
        </w:rPr>
        <w:t>人類の一員</w:t>
      </w:r>
      <w:r>
        <w:t>としての障害者の</w:t>
      </w:r>
      <w:r w:rsidR="00804677">
        <w:rPr>
          <w:rFonts w:hint="eastAsia"/>
        </w:rPr>
        <w:t>受け入れ</w:t>
      </w:r>
      <w:r>
        <w:t>」</w:t>
      </w:r>
      <w:r w:rsidR="00804677">
        <w:rPr>
          <w:rFonts w:hint="eastAsia"/>
        </w:rPr>
        <w:t>としている。人間の尊厳の尊重は、</w:t>
      </w:r>
      <w:r w:rsidR="00804677">
        <w:t>今日の国際人権</w:t>
      </w:r>
      <w:r w:rsidR="00804677">
        <w:rPr>
          <w:rFonts w:hint="eastAsia"/>
        </w:rPr>
        <w:t>法</w:t>
      </w:r>
      <w:r w:rsidR="00804677">
        <w:t>と国内</w:t>
      </w:r>
      <w:r w:rsidR="00804677">
        <w:rPr>
          <w:rFonts w:hint="eastAsia"/>
        </w:rPr>
        <w:t>の</w:t>
      </w:r>
      <w:r w:rsidR="00804677">
        <w:t>憲法の</w:t>
      </w:r>
      <w:r w:rsidR="00804677">
        <w:rPr>
          <w:rFonts w:hint="eastAsia"/>
        </w:rPr>
        <w:t>根本理念とされている。これは</w:t>
      </w:r>
      <w:r w:rsidR="00804677">
        <w:t>第二次世界大戦後、ナチス政権の残虐行為への対応として多くの人権</w:t>
      </w:r>
      <w:r w:rsidR="00804677">
        <w:rPr>
          <w:rFonts w:hint="eastAsia"/>
        </w:rPr>
        <w:t>条約</w:t>
      </w:r>
      <w:r w:rsidR="00804677">
        <w:t>に導入され、今日では国連の中核的価値として認識されている</w:t>
      </w:r>
      <w:r w:rsidR="00204D5B">
        <w:rPr>
          <w:rStyle w:val="ac"/>
        </w:rPr>
        <w:footnoteReference w:id="63"/>
      </w:r>
      <w:r w:rsidR="00804677">
        <w:rPr>
          <w:rFonts w:hint="eastAsia"/>
        </w:rPr>
        <w:t>。</w:t>
      </w:r>
      <w:r>
        <w:t>ただし、CRPDは</w:t>
      </w:r>
      <w:r w:rsidR="00804677">
        <w:t>他の人権条約よりも</w:t>
      </w:r>
      <w:r w:rsidR="00804677">
        <w:rPr>
          <w:rFonts w:hint="eastAsia"/>
        </w:rPr>
        <w:t>、</w:t>
      </w:r>
      <w:r w:rsidR="00804677">
        <w:t>人間の尊厳の</w:t>
      </w:r>
      <w:r>
        <w:t>概念に</w:t>
      </w:r>
      <w:r w:rsidR="00804677">
        <w:rPr>
          <w:rFonts w:hint="eastAsia"/>
        </w:rPr>
        <w:t>より多く関わっている</w:t>
      </w:r>
      <w:r>
        <w:t>ことを認識する必要がある</w:t>
      </w:r>
      <w:r w:rsidR="00804677">
        <w:rPr>
          <w:rFonts w:hint="eastAsia"/>
        </w:rPr>
        <w:t>。</w:t>
      </w:r>
      <w:r>
        <w:t>障害者の尊厳を尊重することは条約の</w:t>
      </w:r>
      <w:r>
        <w:rPr>
          <w:rFonts w:hint="eastAsia"/>
        </w:rPr>
        <w:t>目的であり、</w:t>
      </w:r>
      <w:r>
        <w:t>8つの</w:t>
      </w:r>
      <w:r w:rsidR="00804677">
        <w:rPr>
          <w:rFonts w:hint="eastAsia"/>
        </w:rPr>
        <w:t>主要</w:t>
      </w:r>
      <w:r>
        <w:t>原則の1つ</w:t>
      </w:r>
      <w:r w:rsidR="00F463C9">
        <w:t>である</w:t>
      </w:r>
      <w:r w:rsidR="00204D5B">
        <w:rPr>
          <w:rStyle w:val="ac"/>
        </w:rPr>
        <w:footnoteReference w:id="64"/>
      </w:r>
      <w:r>
        <w:t>。さらに、差別</w:t>
      </w:r>
      <w:r w:rsidR="00204D5B">
        <w:rPr>
          <w:rStyle w:val="ac"/>
        </w:rPr>
        <w:footnoteReference w:id="65"/>
      </w:r>
      <w:r>
        <w:t>、意識の向上</w:t>
      </w:r>
      <w:r w:rsidR="00204D5B">
        <w:rPr>
          <w:rStyle w:val="ac"/>
        </w:rPr>
        <w:footnoteReference w:id="66"/>
      </w:r>
      <w:r>
        <w:t>、暴力からの回復</w:t>
      </w:r>
      <w:r w:rsidR="00204D5B">
        <w:rPr>
          <w:rStyle w:val="ac"/>
        </w:rPr>
        <w:footnoteReference w:id="67"/>
      </w:r>
      <w:r w:rsidR="00804677">
        <w:rPr>
          <w:rFonts w:hint="eastAsia"/>
        </w:rPr>
        <w:t>、インクルーシブな教育</w:t>
      </w:r>
      <w:r w:rsidR="00204D5B">
        <w:rPr>
          <w:rStyle w:val="ac"/>
        </w:rPr>
        <w:footnoteReference w:id="68"/>
      </w:r>
      <w:r w:rsidR="00804677">
        <w:rPr>
          <w:rFonts w:hint="eastAsia"/>
        </w:rPr>
        <w:t>、保健専門職によるケアの提供</w:t>
      </w:r>
      <w:r w:rsidR="00204D5B">
        <w:rPr>
          <w:rStyle w:val="ac"/>
        </w:rPr>
        <w:footnoteReference w:id="69"/>
      </w:r>
      <w:r>
        <w:t>など、さまざまな文脈で5回言及されて</w:t>
      </w:r>
      <w:r w:rsidR="00D015D9">
        <w:t>いる</w:t>
      </w:r>
      <w:r w:rsidR="00804677">
        <w:rPr>
          <w:rFonts w:hint="eastAsia"/>
        </w:rPr>
        <w:t>。</w:t>
      </w:r>
      <w:r>
        <w:t>さらに、「</w:t>
      </w:r>
      <w:r w:rsidR="00804677">
        <w:rPr>
          <w:rFonts w:hint="eastAsia"/>
        </w:rPr>
        <w:t>人類社会の</w:t>
      </w:r>
      <w:r w:rsidR="00804677">
        <w:t>全</w:t>
      </w:r>
      <w:r w:rsidR="00804677">
        <w:rPr>
          <w:rFonts w:hint="eastAsia"/>
        </w:rPr>
        <w:t>ての構成員</w:t>
      </w:r>
      <w:r w:rsidR="00804677">
        <w:t>の</w:t>
      </w:r>
      <w:r>
        <w:t>固有の尊厳と価値</w:t>
      </w:r>
      <w:r w:rsidR="00804677">
        <w:rPr>
          <w:rFonts w:hint="eastAsia"/>
        </w:rPr>
        <w:t>並びに</w:t>
      </w:r>
      <w:r>
        <w:t>平等かつ</w:t>
      </w:r>
      <w:r w:rsidR="00804677">
        <w:rPr>
          <w:rFonts w:hint="eastAsia"/>
        </w:rPr>
        <w:t>奪い得ない</w:t>
      </w:r>
      <w:r>
        <w:t>権利」を認めることは、「世界の自由、正義および平和の基盤」と見なされて</w:t>
      </w:r>
      <w:r w:rsidR="00D015D9">
        <w:t>いる</w:t>
      </w:r>
      <w:r w:rsidR="00204D5B">
        <w:rPr>
          <w:rStyle w:val="ac"/>
        </w:rPr>
        <w:footnoteReference w:id="70"/>
      </w:r>
      <w:r>
        <w:t>。</w:t>
      </w:r>
    </w:p>
    <w:p w:rsidR="00963C08" w:rsidRDefault="00804677" w:rsidP="00F463C9">
      <w:pPr>
        <w:ind w:firstLineChars="100" w:firstLine="210"/>
      </w:pPr>
      <w:r>
        <w:t>CRPD</w:t>
      </w:r>
      <w:r w:rsidR="00963C08">
        <w:rPr>
          <w:rFonts w:hint="eastAsia"/>
        </w:rPr>
        <w:t>第</w:t>
      </w:r>
      <w:r w:rsidR="00963C08">
        <w:t>3条の多様性の原則は、</w:t>
      </w:r>
      <w:r w:rsidR="00D015D9">
        <w:t>機能障害</w:t>
      </w:r>
      <w:r w:rsidR="00963C08">
        <w:t>が</w:t>
      </w:r>
      <w:r>
        <w:rPr>
          <w:rFonts w:hint="eastAsia"/>
        </w:rPr>
        <w:t>欠陥</w:t>
      </w:r>
      <w:r w:rsidR="00963C08">
        <w:t>と見なされるべきではないこと、また人の尊厳を損なう可能性がある要因と見なされるべきではないことを明確にするという点で、人権理論への貴重な貢献である。したがって、CRPDは障害が社会的構成</w:t>
      </w:r>
      <w:r w:rsidR="00C3504A">
        <w:rPr>
          <w:rFonts w:hint="eastAsia"/>
        </w:rPr>
        <w:t>物</w:t>
      </w:r>
      <w:r w:rsidR="00963C08">
        <w:t>であるという前提に基づいて構築されているだけでなく、それはまた人間の多様性と人間の尊厳の一部として</w:t>
      </w:r>
      <w:r>
        <w:rPr>
          <w:rFonts w:hint="eastAsia"/>
        </w:rPr>
        <w:t>機能</w:t>
      </w:r>
      <w:r w:rsidR="00963C08">
        <w:t>障害を評価して</w:t>
      </w:r>
      <w:r w:rsidR="00D015D9">
        <w:t>いる</w:t>
      </w:r>
      <w:r w:rsidR="00963C08">
        <w:t>。</w:t>
      </w:r>
      <w:r>
        <w:rPr>
          <w:rFonts w:hint="eastAsia"/>
        </w:rPr>
        <w:t>この点で</w:t>
      </w:r>
      <w:r w:rsidR="00963C08">
        <w:t>、人権モデルは障害の社会モデルを超えていると思</w:t>
      </w:r>
      <w:r>
        <w:rPr>
          <w:rFonts w:hint="eastAsia"/>
        </w:rPr>
        <w:t>う</w:t>
      </w:r>
      <w:r w:rsidR="00963C08">
        <w:t>。この認識は、安楽死、出生前診断、または医学的正常化治療などの</w:t>
      </w:r>
      <w:r>
        <w:rPr>
          <w:rFonts w:hint="eastAsia"/>
        </w:rPr>
        <w:t>、</w:t>
      </w:r>
      <w:r>
        <w:t>社会が</w:t>
      </w:r>
      <w:r>
        <w:rPr>
          <w:rFonts w:hint="eastAsia"/>
        </w:rPr>
        <w:t>機能</w:t>
      </w:r>
      <w:r w:rsidR="00963C08">
        <w:t>障害を</w:t>
      </w:r>
      <w:r>
        <w:rPr>
          <w:rFonts w:hint="eastAsia"/>
        </w:rPr>
        <w:t>取り扱う</w:t>
      </w:r>
      <w:r w:rsidR="00963C08">
        <w:t>方法によって引</w:t>
      </w:r>
      <w:r w:rsidR="00963C08">
        <w:rPr>
          <w:rFonts w:hint="eastAsia"/>
        </w:rPr>
        <w:t>き起こされる倫理的な質問に答えるための基本的な前提として重要</w:t>
      </w:r>
      <w:r w:rsidR="00F463C9">
        <w:rPr>
          <w:rFonts w:hint="eastAsia"/>
        </w:rPr>
        <w:t>である</w:t>
      </w:r>
      <w:r w:rsidR="00963C08">
        <w:rPr>
          <w:rFonts w:hint="eastAsia"/>
        </w:rPr>
        <w:t>。私たち</w:t>
      </w:r>
      <w:r>
        <w:rPr>
          <w:rFonts w:hint="eastAsia"/>
        </w:rPr>
        <w:t>は</w:t>
      </w:r>
      <w:r w:rsidR="00963C08">
        <w:rPr>
          <w:rFonts w:hint="eastAsia"/>
        </w:rPr>
        <w:t>背景研究で述べた</w:t>
      </w:r>
      <w:r>
        <w:rPr>
          <w:rFonts w:hint="eastAsia"/>
        </w:rPr>
        <w:t>。</w:t>
      </w:r>
    </w:p>
    <w:p w:rsidR="00963C08" w:rsidRDefault="00963C08" w:rsidP="00804677">
      <w:pPr>
        <w:ind w:leftChars="405" w:left="850" w:firstLineChars="100" w:firstLine="210"/>
      </w:pPr>
      <w:r>
        <w:rPr>
          <w:rFonts w:hint="eastAsia"/>
        </w:rPr>
        <w:t>人権モデルは、人間の固有の尊厳と、それに続</w:t>
      </w:r>
      <w:r w:rsidR="00804677">
        <w:rPr>
          <w:rFonts w:hint="eastAsia"/>
        </w:rPr>
        <w:t>いて、</w:t>
      </w:r>
      <w:r>
        <w:rPr>
          <w:rFonts w:hint="eastAsia"/>
        </w:rPr>
        <w:t>必要な場合に限り、その人の医学的特性に焦点を当て</w:t>
      </w:r>
      <w:r w:rsidR="00D015D9">
        <w:rPr>
          <w:rFonts w:hint="eastAsia"/>
        </w:rPr>
        <w:t>る</w:t>
      </w:r>
      <w:r>
        <w:rPr>
          <w:rFonts w:hint="eastAsia"/>
        </w:rPr>
        <w:t>。それは彼</w:t>
      </w:r>
      <w:r>
        <w:t>/彼女に影響を与えるすべての決定において</w:t>
      </w:r>
      <w:r w:rsidR="00804677">
        <w:rPr>
          <w:rFonts w:hint="eastAsia"/>
        </w:rPr>
        <w:t>その個人を舞台の中心に置き、</w:t>
      </w:r>
      <w:r>
        <w:t>そして最も重要なことは、</w:t>
      </w:r>
      <w:r w:rsidR="00804677">
        <w:t>主な「問題」を</w:t>
      </w:r>
      <w:r>
        <w:t>人の外</w:t>
      </w:r>
      <w:r w:rsidR="00804677">
        <w:rPr>
          <w:rFonts w:hint="eastAsia"/>
        </w:rPr>
        <w:t>に、</w:t>
      </w:r>
      <w:r>
        <w:t>そして社会の中</w:t>
      </w:r>
      <w:r w:rsidR="00804677">
        <w:rPr>
          <w:rFonts w:hint="eastAsia"/>
        </w:rPr>
        <w:t>に位置づける。</w:t>
      </w:r>
      <w:r>
        <w:t>このモデルの下での障害の「問題」は、障害が表す</w:t>
      </w:r>
      <w:r w:rsidR="00C3504A">
        <w:rPr>
          <w:rFonts w:hint="eastAsia"/>
        </w:rPr>
        <w:t>差異</w:t>
      </w:r>
      <w:r>
        <w:t>に対する国家と市民社会による</w:t>
      </w:r>
      <w:r w:rsidR="00C3504A">
        <w:rPr>
          <w:rFonts w:hint="eastAsia"/>
        </w:rPr>
        <w:t>対応力</w:t>
      </w:r>
      <w:r>
        <w:t>の欠如から生じて</w:t>
      </w:r>
      <w:r w:rsidR="00D015D9">
        <w:t>いる</w:t>
      </w:r>
      <w:r>
        <w:t>。その結果、国家は、すべての人の尊厳と平等な権利を完全に尊重するために、社会的に生み出された障害に取り組む責任を負うことにな</w:t>
      </w:r>
      <w:r w:rsidR="00D015D9">
        <w:t>る</w:t>
      </w:r>
      <w:r w:rsidR="00204D5B">
        <w:rPr>
          <w:rStyle w:val="ac"/>
        </w:rPr>
        <w:footnoteReference w:id="71"/>
      </w:r>
      <w:r>
        <w:t>。</w:t>
      </w:r>
    </w:p>
    <w:p w:rsidR="00963C08" w:rsidRDefault="00963C08" w:rsidP="00804677">
      <w:pPr>
        <w:ind w:firstLineChars="100" w:firstLine="210"/>
      </w:pPr>
      <w:r>
        <w:rPr>
          <w:rFonts w:hint="eastAsia"/>
        </w:rPr>
        <w:t>人間の尊厳の原則のもう一つの重要な側面は、すべての人間が</w:t>
      </w:r>
      <w:r w:rsidR="00804677">
        <w:rPr>
          <w:rFonts w:hint="eastAsia"/>
        </w:rPr>
        <w:t>権利の持ち主</w:t>
      </w:r>
      <w:r>
        <w:rPr>
          <w:rFonts w:hint="eastAsia"/>
        </w:rPr>
        <w:t>であることを再確認すること</w:t>
      </w:r>
      <w:r w:rsidR="00F463C9">
        <w:rPr>
          <w:rFonts w:hint="eastAsia"/>
        </w:rPr>
        <w:t>である</w:t>
      </w:r>
      <w:r>
        <w:rPr>
          <w:rFonts w:hint="eastAsia"/>
        </w:rPr>
        <w:t>。</w:t>
      </w:r>
      <w:r w:rsidR="00804677">
        <w:rPr>
          <w:rFonts w:hint="eastAsia"/>
        </w:rPr>
        <w:t>リー・アン・バッセル</w:t>
      </w:r>
      <w:r>
        <w:t>が指摘したように、これは長い間この地位を否定されてきた障害者にとって特に重要</w:t>
      </w:r>
      <w:r w:rsidR="00F463C9">
        <w:t>である</w:t>
      </w:r>
      <w:r>
        <w:t>。彼女は</w:t>
      </w:r>
      <w:r w:rsidR="00804677">
        <w:rPr>
          <w:rFonts w:hint="eastAsia"/>
        </w:rPr>
        <w:t>ドゥオーキン</w:t>
      </w:r>
      <w:r>
        <w:t>の</w:t>
      </w:r>
      <w:r w:rsidR="00804677">
        <w:rPr>
          <w:rFonts w:hint="eastAsia"/>
        </w:rPr>
        <w:t>特別な資格としての</w:t>
      </w:r>
      <w:r>
        <w:t>権利の概念化を「切り札」</w:t>
      </w:r>
      <w:r w:rsidR="000201A5">
        <w:rPr>
          <w:rStyle w:val="ac"/>
        </w:rPr>
        <w:footnoteReference w:id="72"/>
      </w:r>
      <w:r>
        <w:t>と呼</w:t>
      </w:r>
      <w:r w:rsidR="00804677">
        <w:rPr>
          <w:rFonts w:hint="eastAsia"/>
        </w:rPr>
        <w:t>び</w:t>
      </w:r>
      <w:r>
        <w:t>、</w:t>
      </w:r>
      <w:r w:rsidR="000201A5">
        <w:rPr>
          <w:rFonts w:hint="eastAsia"/>
        </w:rPr>
        <w:t>「</w:t>
      </w:r>
      <w:r>
        <w:t>権利が切り札であるならば尊厳</w:t>
      </w:r>
      <w:r w:rsidR="00804677">
        <w:rPr>
          <w:rFonts w:hint="eastAsia"/>
        </w:rPr>
        <w:t>は錠を回す</w:t>
      </w:r>
      <w:r>
        <w:t>鍵</w:t>
      </w:r>
      <w:r w:rsidR="00804677">
        <w:rPr>
          <w:rFonts w:hint="eastAsia"/>
        </w:rPr>
        <w:t>である。</w:t>
      </w:r>
      <w:r>
        <w:t>社会に参入し、</w:t>
      </w:r>
      <w:r w:rsidR="00804677">
        <w:rPr>
          <w:rFonts w:hint="eastAsia"/>
        </w:rPr>
        <w:t>その社会で</w:t>
      </w:r>
      <w:r>
        <w:t>一人ひとりが平等な関心と尊敬をもって扱われることを要求</w:t>
      </w:r>
      <w:r w:rsidR="00804677">
        <w:rPr>
          <w:rFonts w:hint="eastAsia"/>
        </w:rPr>
        <w:t>できるようにする鍵である。</w:t>
      </w:r>
      <w:r w:rsidR="000201A5">
        <w:rPr>
          <w:rFonts w:hint="eastAsia"/>
        </w:rPr>
        <w:t>」</w:t>
      </w:r>
      <w:r w:rsidR="000201A5">
        <w:rPr>
          <w:rStyle w:val="ac"/>
        </w:rPr>
        <w:footnoteReference w:id="73"/>
      </w:r>
      <w:r w:rsidR="000201A5">
        <w:rPr>
          <w:rFonts w:hint="eastAsia"/>
        </w:rPr>
        <w:t>とした</w:t>
      </w:r>
      <w:r w:rsidR="00C3504A">
        <w:rPr>
          <w:rFonts w:hint="eastAsia"/>
        </w:rPr>
        <w:t>。</w:t>
      </w:r>
      <w:r>
        <w:t>国際障害者権利運動はCRPD</w:t>
      </w:r>
      <w:r w:rsidR="00804677">
        <w:rPr>
          <w:rFonts w:hint="eastAsia"/>
        </w:rPr>
        <w:t>のために</w:t>
      </w:r>
      <w:r>
        <w:t>20年以上も闘ってきた。人権条約のための長い闘争は、政治的変革のための</w:t>
      </w:r>
      <w:r w:rsidR="00804677">
        <w:rPr>
          <w:rFonts w:hint="eastAsia"/>
        </w:rPr>
        <w:t>障害者団体</w:t>
      </w:r>
      <w:r>
        <w:t>の闘</w:t>
      </w:r>
      <w:r>
        <w:rPr>
          <w:rFonts w:hint="eastAsia"/>
        </w:rPr>
        <w:t>争</w:t>
      </w:r>
      <w:r w:rsidR="00804677">
        <w:rPr>
          <w:rFonts w:hint="eastAsia"/>
        </w:rPr>
        <w:t>であっただけでなく、</w:t>
      </w:r>
      <w:r>
        <w:rPr>
          <w:rFonts w:hint="eastAsia"/>
        </w:rPr>
        <w:t>アクセル・ホネスの認知理論の意味での認識と尊重のための障害者の個々</w:t>
      </w:r>
      <w:r w:rsidR="00804677">
        <w:rPr>
          <w:rFonts w:hint="eastAsia"/>
        </w:rPr>
        <w:t>人</w:t>
      </w:r>
      <w:r>
        <w:rPr>
          <w:rFonts w:hint="eastAsia"/>
        </w:rPr>
        <w:t>の闘争でもあったと思う</w:t>
      </w:r>
      <w:r w:rsidR="000201A5">
        <w:rPr>
          <w:rStyle w:val="ac"/>
        </w:rPr>
        <w:footnoteReference w:id="74"/>
      </w:r>
      <w:r>
        <w:rPr>
          <w:rFonts w:hint="eastAsia"/>
        </w:rPr>
        <w:t>。</w:t>
      </w:r>
      <w:r w:rsidR="00804677">
        <w:rPr>
          <w:rFonts w:hint="eastAsia"/>
        </w:rPr>
        <w:t>ホネスによれば、</w:t>
      </w:r>
      <w:r>
        <w:rPr>
          <w:rFonts w:hint="eastAsia"/>
        </w:rPr>
        <w:t>社会運動は常に集団的</w:t>
      </w:r>
      <w:r w:rsidR="00804677">
        <w:rPr>
          <w:rFonts w:hint="eastAsia"/>
        </w:rPr>
        <w:t>次元と</w:t>
      </w:r>
      <w:r>
        <w:rPr>
          <w:rFonts w:hint="eastAsia"/>
        </w:rPr>
        <w:t>個人的</w:t>
      </w:r>
      <w:r w:rsidR="00804677">
        <w:rPr>
          <w:rFonts w:hint="eastAsia"/>
        </w:rPr>
        <w:t>次元</w:t>
      </w:r>
      <w:r>
        <w:rPr>
          <w:rFonts w:hint="eastAsia"/>
        </w:rPr>
        <w:t>を持って</w:t>
      </w:r>
      <w:r w:rsidR="00D015D9">
        <w:rPr>
          <w:rFonts w:hint="eastAsia"/>
        </w:rPr>
        <w:t>いる</w:t>
      </w:r>
      <w:r>
        <w:rPr>
          <w:rFonts w:hint="eastAsia"/>
        </w:rPr>
        <w:t>。</w:t>
      </w:r>
      <w:r w:rsidR="00804677">
        <w:rPr>
          <w:rFonts w:hint="eastAsia"/>
        </w:rPr>
        <w:t>個人的次元</w:t>
      </w:r>
      <w:r>
        <w:rPr>
          <w:rFonts w:hint="eastAsia"/>
        </w:rPr>
        <w:t>は、自尊心、自信、</w:t>
      </w:r>
      <w:r w:rsidR="00804677">
        <w:rPr>
          <w:rFonts w:hint="eastAsia"/>
        </w:rPr>
        <w:t>自負</w:t>
      </w:r>
      <w:r>
        <w:rPr>
          <w:rFonts w:hint="eastAsia"/>
        </w:rPr>
        <w:t>心によって促進される必要がある</w:t>
      </w:r>
      <w:r w:rsidR="002D57D6">
        <w:rPr>
          <w:rFonts w:hint="eastAsia"/>
        </w:rPr>
        <w:t>アイデンティティ</w:t>
      </w:r>
      <w:r>
        <w:rPr>
          <w:rFonts w:hint="eastAsia"/>
        </w:rPr>
        <w:t>形成のプロセスとしての闘争に</w:t>
      </w:r>
      <w:r w:rsidR="00804677">
        <w:rPr>
          <w:rFonts w:hint="eastAsia"/>
        </w:rPr>
        <w:t>かかわる</w:t>
      </w:r>
      <w:r>
        <w:rPr>
          <w:rFonts w:hint="eastAsia"/>
        </w:rPr>
        <w:t>。障害者の人権闘争は、このように世界的な障害者集団のための闘争であると同時に、</w:t>
      </w:r>
      <w:r w:rsidR="00804677">
        <w:rPr>
          <w:rFonts w:hint="eastAsia"/>
        </w:rPr>
        <w:t>障害のある個々人に対する</w:t>
      </w:r>
      <w:r>
        <w:rPr>
          <w:rFonts w:hint="eastAsia"/>
        </w:rPr>
        <w:t>社会による尊敬と認識のための闘いでも</w:t>
      </w:r>
      <w:r w:rsidR="00D015D9">
        <w:rPr>
          <w:rFonts w:hint="eastAsia"/>
        </w:rPr>
        <w:t>ある</w:t>
      </w:r>
      <w:r>
        <w:rPr>
          <w:rFonts w:hint="eastAsia"/>
        </w:rPr>
        <w:t>。障害の人権モデルは、</w:t>
      </w:r>
      <w:r w:rsidR="00D015D9">
        <w:rPr>
          <w:rFonts w:hint="eastAsia"/>
        </w:rPr>
        <w:t>機能障害</w:t>
      </w:r>
      <w:r>
        <w:rPr>
          <w:rFonts w:hint="eastAsia"/>
        </w:rPr>
        <w:t>が人間の尊厳を損なうものではなく、権利を持つ者としての障害者の地位を侵害するものでもないことを明確にしている。したがって、私は、</w:t>
      </w:r>
      <w:r w:rsidR="00804677">
        <w:rPr>
          <w:rFonts w:hint="eastAsia"/>
        </w:rPr>
        <w:t>常にとは言えないが確実によくないこともある機能障害まで範囲に含んでいるので、障害の人権モデルは社会モデルよりも、</w:t>
      </w:r>
      <w:r>
        <w:rPr>
          <w:rFonts w:hint="eastAsia"/>
        </w:rPr>
        <w:t>適切であると考えて</w:t>
      </w:r>
      <w:r w:rsidR="00D015D9">
        <w:rPr>
          <w:rFonts w:hint="eastAsia"/>
        </w:rPr>
        <w:t>いる</w:t>
      </w:r>
      <w:r>
        <w:rPr>
          <w:rFonts w:hint="eastAsia"/>
        </w:rPr>
        <w:t>。それはまた、</w:t>
      </w:r>
      <w:r w:rsidR="00804677">
        <w:rPr>
          <w:rFonts w:hint="eastAsia"/>
        </w:rPr>
        <w:t>社会的・文化的認識の否定としての障害の政治学を分析することを可能にする</w:t>
      </w:r>
      <w:r w:rsidR="000201A5">
        <w:rPr>
          <w:rStyle w:val="ac"/>
        </w:rPr>
        <w:footnoteReference w:id="75"/>
      </w:r>
      <w:r w:rsidR="00804677">
        <w:t>。</w:t>
      </w:r>
      <w:r w:rsidR="00804677">
        <w:rPr>
          <w:rFonts w:hint="eastAsia"/>
        </w:rPr>
        <w:t>この点の分析の弱さは、</w:t>
      </w:r>
      <w:r>
        <w:rPr>
          <w:rFonts w:hint="eastAsia"/>
        </w:rPr>
        <w:t>障害の社会モデルに対する批判の一側面である</w:t>
      </w:r>
      <w:r w:rsidR="00804677">
        <w:rPr>
          <w:rFonts w:hint="eastAsia"/>
        </w:rPr>
        <w:t>。</w:t>
      </w:r>
      <w:r>
        <w:t>障害の人権モデルは、</w:t>
      </w:r>
      <w:r w:rsidR="00D015D9">
        <w:t>機能障害</w:t>
      </w:r>
      <w:r>
        <w:t>が</w:t>
      </w:r>
      <w:r w:rsidR="00804677">
        <w:rPr>
          <w:rFonts w:hint="eastAsia"/>
        </w:rPr>
        <w:t>司法</w:t>
      </w:r>
      <w:r>
        <w:t>の理論において認識されることを要求する。</w:t>
      </w:r>
      <w:r w:rsidR="00C3504A">
        <w:rPr>
          <w:rFonts w:hint="eastAsia"/>
        </w:rPr>
        <w:t>それ</w:t>
      </w:r>
      <w:r>
        <w:t>が社会契約理論であるか、能力</w:t>
      </w:r>
      <w:r w:rsidR="00804677">
        <w:rPr>
          <w:rFonts w:hint="eastAsia"/>
        </w:rPr>
        <w:t>（c</w:t>
      </w:r>
      <w:r w:rsidR="00804677">
        <w:t>apability</w:t>
      </w:r>
      <w:r w:rsidR="00804677">
        <w:rPr>
          <w:rFonts w:hint="eastAsia"/>
        </w:rPr>
        <w:t>）</w:t>
      </w:r>
      <w:r>
        <w:t>アプローチをとるか、あるいはその根拠としてケアの倫理をとるか</w:t>
      </w:r>
      <w:r w:rsidR="00804677">
        <w:rPr>
          <w:rFonts w:hint="eastAsia"/>
        </w:rPr>
        <w:t>どうか</w:t>
      </w:r>
      <w:r>
        <w:t>は別の問題</w:t>
      </w:r>
      <w:r w:rsidR="00F463C9">
        <w:t>である</w:t>
      </w:r>
      <w:r w:rsidR="000201A5">
        <w:rPr>
          <w:rStyle w:val="ac"/>
        </w:rPr>
        <w:footnoteReference w:id="76"/>
      </w:r>
      <w:r>
        <w:t>。</w:t>
      </w:r>
    </w:p>
    <w:p w:rsidR="00963C08" w:rsidRDefault="00963C08" w:rsidP="00963C08">
      <w:r>
        <w:t xml:space="preserve">  </w:t>
      </w:r>
    </w:p>
    <w:p w:rsidR="00963C08" w:rsidRPr="0041601D" w:rsidRDefault="00963C08" w:rsidP="00963C08">
      <w:pPr>
        <w:rPr>
          <w:rFonts w:ascii="ＭＳ ゴシック" w:eastAsia="ＭＳ ゴシック" w:hAnsi="ＭＳ ゴシック"/>
          <w:i/>
          <w:iCs/>
        </w:rPr>
      </w:pPr>
      <w:r w:rsidRPr="0041601D">
        <w:rPr>
          <w:rFonts w:ascii="ＭＳ ゴシック" w:eastAsia="ＭＳ ゴシック" w:hAnsi="ＭＳ ゴシック"/>
          <w:i/>
          <w:iCs/>
        </w:rPr>
        <w:t>4.人権モデルはアイデンティティの問題を</w:t>
      </w:r>
      <w:r w:rsidR="0041601D">
        <w:rPr>
          <w:rFonts w:ascii="ＭＳ ゴシック" w:eastAsia="ＭＳ ゴシック" w:hAnsi="ＭＳ ゴシック" w:hint="eastAsia"/>
          <w:i/>
          <w:iCs/>
        </w:rPr>
        <w:t>認識する</w:t>
      </w:r>
    </w:p>
    <w:p w:rsidR="00963C08" w:rsidRDefault="00963C08" w:rsidP="00963C08"/>
    <w:p w:rsidR="00963C08" w:rsidRDefault="00963C08" w:rsidP="00F463C9">
      <w:pPr>
        <w:ind w:firstLineChars="100" w:firstLine="210"/>
      </w:pPr>
      <w:r>
        <w:rPr>
          <w:rFonts w:hint="eastAsia"/>
        </w:rPr>
        <w:t>第四に、障害の社会モデルは、障害者</w:t>
      </w:r>
      <w:r w:rsidR="00804677">
        <w:rPr>
          <w:rFonts w:hint="eastAsia"/>
        </w:rPr>
        <w:t>政策</w:t>
      </w:r>
      <w:r>
        <w:rPr>
          <w:rFonts w:hint="eastAsia"/>
        </w:rPr>
        <w:t>の貴重な要素として</w:t>
      </w:r>
      <w:r w:rsidR="00804677">
        <w:rPr>
          <w:rFonts w:hint="eastAsia"/>
        </w:rPr>
        <w:t>の</w:t>
      </w:r>
      <w:r>
        <w:rPr>
          <w:rFonts w:hint="eastAsia"/>
        </w:rPr>
        <w:t>アイデンティティ政治</w:t>
      </w:r>
      <w:r w:rsidR="00804677">
        <w:rPr>
          <w:rFonts w:hint="eastAsia"/>
        </w:rPr>
        <w:t>（</w:t>
      </w:r>
      <w:r w:rsidR="00804677" w:rsidRPr="00804677">
        <w:t>identity politics</w:t>
      </w:r>
      <w:r w:rsidR="00804677">
        <w:rPr>
          <w:rFonts w:hint="eastAsia"/>
        </w:rPr>
        <w:t>）</w:t>
      </w:r>
      <w:r>
        <w:rPr>
          <w:rFonts w:hint="eastAsia"/>
        </w:rPr>
        <w:t>を無視している</w:t>
      </w:r>
      <w:r w:rsidR="00804677">
        <w:rPr>
          <w:rFonts w:hint="eastAsia"/>
        </w:rPr>
        <w:t>が</w:t>
      </w:r>
      <w:r>
        <w:rPr>
          <w:rFonts w:hint="eastAsia"/>
        </w:rPr>
        <w:t>、人権モデルは、</w:t>
      </w:r>
      <w:r w:rsidR="00804677">
        <w:rPr>
          <w:rFonts w:hint="eastAsia"/>
        </w:rPr>
        <w:t>マイノリテイと</w:t>
      </w:r>
      <w:r>
        <w:rPr>
          <w:rFonts w:hint="eastAsia"/>
        </w:rPr>
        <w:t>文化</w:t>
      </w:r>
      <w:r w:rsidR="00804677">
        <w:rPr>
          <w:rFonts w:hint="eastAsia"/>
        </w:rPr>
        <w:t>的なアイデンテテイの</w:t>
      </w:r>
      <w:r>
        <w:rPr>
          <w:rFonts w:hint="eastAsia"/>
        </w:rPr>
        <w:t>余地を</w:t>
      </w:r>
      <w:r w:rsidR="00804677">
        <w:rPr>
          <w:rFonts w:hint="eastAsia"/>
        </w:rPr>
        <w:t>空けている。</w:t>
      </w:r>
    </w:p>
    <w:p w:rsidR="00963C08" w:rsidRDefault="00963C08" w:rsidP="00804677">
      <w:pPr>
        <w:ind w:firstLineChars="100" w:firstLine="210"/>
      </w:pPr>
      <w:r>
        <w:rPr>
          <w:rFonts w:hint="eastAsia"/>
        </w:rPr>
        <w:t>社会モデルは、アイデンティティ政治を解放の貴重な要素</w:t>
      </w:r>
      <w:r w:rsidR="00804677">
        <w:rPr>
          <w:rFonts w:hint="eastAsia"/>
        </w:rPr>
        <w:t>であることを</w:t>
      </w:r>
      <w:r>
        <w:rPr>
          <w:rFonts w:hint="eastAsia"/>
        </w:rPr>
        <w:t>無視することに対しても批判されてきた。アイデンティティ政治は、人間</w:t>
      </w:r>
      <w:r w:rsidR="00804677">
        <w:rPr>
          <w:rFonts w:hint="eastAsia"/>
        </w:rPr>
        <w:t>の</w:t>
      </w:r>
      <w:r>
        <w:rPr>
          <w:rFonts w:hint="eastAsia"/>
        </w:rPr>
        <w:t>間の違い</w:t>
      </w:r>
      <w:r w:rsidR="00804677">
        <w:rPr>
          <w:rFonts w:hint="eastAsia"/>
        </w:rPr>
        <w:t>に価値を置き</w:t>
      </w:r>
      <w:r>
        <w:rPr>
          <w:rFonts w:hint="eastAsia"/>
        </w:rPr>
        <w:t>、それを</w:t>
      </w:r>
      <w:r w:rsidR="00804677">
        <w:rPr>
          <w:rFonts w:hint="eastAsia"/>
        </w:rPr>
        <w:t>尊重</w:t>
      </w:r>
      <w:r>
        <w:rPr>
          <w:rFonts w:hint="eastAsia"/>
        </w:rPr>
        <w:t>し、社会では尊敬されない特徴をもって人が</w:t>
      </w:r>
      <w:r w:rsidR="00804677">
        <w:rPr>
          <w:rFonts w:hint="eastAsia"/>
        </w:rPr>
        <w:t>肯定的にアイデンテテイを抱くことを可能にする</w:t>
      </w:r>
      <w:r>
        <w:rPr>
          <w:rFonts w:hint="eastAsia"/>
        </w:rPr>
        <w:t>政治と定義することができ</w:t>
      </w:r>
      <w:r w:rsidR="00D015D9">
        <w:rPr>
          <w:rFonts w:hint="eastAsia"/>
        </w:rPr>
        <w:t>る</w:t>
      </w:r>
      <w:r>
        <w:rPr>
          <w:rFonts w:hint="eastAsia"/>
        </w:rPr>
        <w:t>。ゲイプライド、ブラックプライド、フェミニズム、または障害者文化は、これらの</w:t>
      </w:r>
      <w:r w:rsidR="002D57D6">
        <w:rPr>
          <w:rFonts w:hint="eastAsia"/>
        </w:rPr>
        <w:t>アイデンティティ</w:t>
      </w:r>
      <w:r>
        <w:rPr>
          <w:rFonts w:hint="eastAsia"/>
        </w:rPr>
        <w:t>政治の現れ</w:t>
      </w:r>
      <w:r w:rsidR="00F463C9">
        <w:rPr>
          <w:rFonts w:hint="eastAsia"/>
        </w:rPr>
        <w:t>である</w:t>
      </w:r>
      <w:r>
        <w:rPr>
          <w:rFonts w:hint="eastAsia"/>
        </w:rPr>
        <w:t>。障害の社会モデルは、個人の解放ではなく社会的権力関係に焦点が当てられているため、この問題の余地はあまり</w:t>
      </w:r>
      <w:r w:rsidR="00D015D9">
        <w:rPr>
          <w:rFonts w:hint="eastAsia"/>
        </w:rPr>
        <w:t>ない</w:t>
      </w:r>
      <w:r>
        <w:rPr>
          <w:rFonts w:hint="eastAsia"/>
        </w:rPr>
        <w:t>。障害の文脈におけるアイデンティティ政治はいくつかの意味を持つ。この用語は、</w:t>
      </w:r>
      <w:r w:rsidR="00D015D9">
        <w:rPr>
          <w:rFonts w:hint="eastAsia"/>
        </w:rPr>
        <w:t>機能障害</w:t>
      </w:r>
      <w:r w:rsidR="00804677">
        <w:rPr>
          <w:rFonts w:hint="eastAsia"/>
        </w:rPr>
        <w:t>の種類</w:t>
      </w:r>
      <w:r>
        <w:rPr>
          <w:rFonts w:hint="eastAsia"/>
        </w:rPr>
        <w:t>または</w:t>
      </w:r>
      <w:r w:rsidR="00D015D9">
        <w:rPr>
          <w:rFonts w:hint="eastAsia"/>
        </w:rPr>
        <w:t>機能障害</w:t>
      </w:r>
      <w:r w:rsidR="00804677">
        <w:rPr>
          <w:rFonts w:hint="eastAsia"/>
        </w:rPr>
        <w:t>の</w:t>
      </w:r>
      <w:r>
        <w:rPr>
          <w:rFonts w:hint="eastAsia"/>
        </w:rPr>
        <w:t>原因に関連</w:t>
      </w:r>
      <w:r w:rsidR="00804677">
        <w:rPr>
          <w:rFonts w:hint="eastAsia"/>
        </w:rPr>
        <w:t>することがある。ろう者</w:t>
      </w:r>
      <w:r>
        <w:rPr>
          <w:rFonts w:hint="eastAsia"/>
        </w:rPr>
        <w:t>は独自の文化を作り出し、</w:t>
      </w:r>
      <w:r w:rsidR="00804677">
        <w:rPr>
          <w:rFonts w:hint="eastAsia"/>
        </w:rPr>
        <w:t>ろう</w:t>
      </w:r>
      <w:r>
        <w:rPr>
          <w:rFonts w:hint="eastAsia"/>
        </w:rPr>
        <w:t>者研究は</w:t>
      </w:r>
      <w:r w:rsidR="00804677">
        <w:rPr>
          <w:rFonts w:hint="eastAsia"/>
        </w:rPr>
        <w:t>ろう</w:t>
      </w:r>
      <w:r>
        <w:rPr>
          <w:rFonts w:hint="eastAsia"/>
        </w:rPr>
        <w:t>アイデンティティが重要な役割を果たす障害研究</w:t>
      </w:r>
      <w:r w:rsidR="00804677">
        <w:rPr>
          <w:rFonts w:hint="eastAsia"/>
        </w:rPr>
        <w:t>の重要な要素となった</w:t>
      </w:r>
      <w:r w:rsidR="000201A5">
        <w:rPr>
          <w:rStyle w:val="ac"/>
        </w:rPr>
        <w:footnoteReference w:id="77"/>
      </w:r>
      <w:r>
        <w:t>。</w:t>
      </w:r>
      <w:r w:rsidR="00804677">
        <w:rPr>
          <w:rFonts w:hint="eastAsia"/>
        </w:rPr>
        <w:t>ろう者や難聴者と同様、盲人や盲ろう者は最初に独自の組織を作ったグループのひとつであり、</w:t>
      </w:r>
      <w:r>
        <w:t>現在も活動している</w:t>
      </w:r>
      <w:r w:rsidR="000201A5">
        <w:rPr>
          <w:rStyle w:val="ac"/>
        </w:rPr>
        <w:footnoteReference w:id="78"/>
      </w:r>
      <w:r w:rsidR="00804677">
        <w:rPr>
          <w:rFonts w:hint="eastAsia"/>
        </w:rPr>
        <w:t>。その</w:t>
      </w:r>
      <w:r>
        <w:t>他の多くの</w:t>
      </w:r>
      <w:r w:rsidR="00D015D9">
        <w:t>機能障害</w:t>
      </w:r>
      <w:r>
        <w:t>関連組織も</w:t>
      </w:r>
      <w:r w:rsidR="00804677">
        <w:rPr>
          <w:rFonts w:hint="eastAsia"/>
        </w:rPr>
        <w:t>同様である。</w:t>
      </w:r>
      <w:r>
        <w:t>障害の文脈における別のアイデンティティ</w:t>
      </w:r>
      <w:r w:rsidR="00804677">
        <w:rPr>
          <w:rFonts w:hint="eastAsia"/>
        </w:rPr>
        <w:t>の要素</w:t>
      </w:r>
      <w:r>
        <w:t>は、後天性障害と先天性障害との違い</w:t>
      </w:r>
      <w:r w:rsidR="00804677">
        <w:rPr>
          <w:rFonts w:hint="eastAsia"/>
        </w:rPr>
        <w:t>といえよう。</w:t>
      </w:r>
      <w:r>
        <w:t>盲または</w:t>
      </w:r>
      <w:r w:rsidR="00804677">
        <w:rPr>
          <w:rFonts w:hint="eastAsia"/>
        </w:rPr>
        <w:t>ろう</w:t>
      </w:r>
      <w:r>
        <w:t>、あるいは身体的または知的に</w:t>
      </w:r>
      <w:r w:rsidR="00804677">
        <w:rPr>
          <w:rFonts w:hint="eastAsia"/>
        </w:rPr>
        <w:t>機能</w:t>
      </w:r>
      <w:r>
        <w:t>障害を負った状態で生まれることは、</w:t>
      </w:r>
      <w:r>
        <w:rPr>
          <w:rFonts w:hint="eastAsia"/>
        </w:rPr>
        <w:t>病気、事故、暴力または貧困によって障害者になることとは大きく異な</w:t>
      </w:r>
      <w:r w:rsidR="00D015D9">
        <w:rPr>
          <w:rFonts w:hint="eastAsia"/>
        </w:rPr>
        <w:t>る</w:t>
      </w:r>
      <w:r>
        <w:rPr>
          <w:rFonts w:hint="eastAsia"/>
        </w:rPr>
        <w:t>。さらに、いくつかの機能障害や「</w:t>
      </w:r>
      <w:r w:rsidR="00804677">
        <w:rPr>
          <w:rFonts w:hint="eastAsia"/>
        </w:rPr>
        <w:t>異常（d</w:t>
      </w:r>
      <w:r w:rsidR="00804677">
        <w:t>isorder</w:t>
      </w:r>
      <w:r w:rsidR="00804677">
        <w:rPr>
          <w:rFonts w:hint="eastAsia"/>
        </w:rPr>
        <w:t>）</w:t>
      </w:r>
      <w:r>
        <w:rPr>
          <w:rFonts w:hint="eastAsia"/>
        </w:rPr>
        <w:t>」は、</w:t>
      </w:r>
      <w:r w:rsidR="00804677">
        <w:rPr>
          <w:rFonts w:hint="eastAsia"/>
        </w:rPr>
        <w:t>排斥</w:t>
      </w:r>
      <w:r>
        <w:rPr>
          <w:rFonts w:hint="eastAsia"/>
        </w:rPr>
        <w:t>とアイデンティティの</w:t>
      </w:r>
      <w:r w:rsidR="00804677">
        <w:rPr>
          <w:rFonts w:hint="eastAsia"/>
        </w:rPr>
        <w:t>独特</w:t>
      </w:r>
      <w:r>
        <w:rPr>
          <w:rFonts w:hint="eastAsia"/>
        </w:rPr>
        <w:t>な経験と一緒に来る</w:t>
      </w:r>
      <w:r w:rsidR="00804677">
        <w:rPr>
          <w:rFonts w:hint="eastAsia"/>
        </w:rPr>
        <w:t>ことがある</w:t>
      </w:r>
      <w:r>
        <w:rPr>
          <w:rFonts w:hint="eastAsia"/>
        </w:rPr>
        <w:t>。例えば、</w:t>
      </w:r>
      <w:r w:rsidR="00804677">
        <w:rPr>
          <w:rFonts w:hint="eastAsia"/>
        </w:rPr>
        <w:t>自らを</w:t>
      </w:r>
      <w:r>
        <w:rPr>
          <w:rFonts w:hint="eastAsia"/>
        </w:rPr>
        <w:t>精神保健利用者であると</w:t>
      </w:r>
      <w:r w:rsidR="00804677">
        <w:rPr>
          <w:rFonts w:hint="eastAsia"/>
        </w:rPr>
        <w:t>明かした</w:t>
      </w:r>
      <w:r>
        <w:rPr>
          <w:rFonts w:hint="eastAsia"/>
        </w:rPr>
        <w:t>ピーター・ベレスフォードは、</w:t>
      </w:r>
      <w:r w:rsidR="00804677" w:rsidRPr="00804677">
        <w:t>CRPDが</w:t>
      </w:r>
      <w:r w:rsidR="00804677">
        <w:rPr>
          <w:rFonts w:hint="eastAsia"/>
        </w:rPr>
        <w:t>生まれる</w:t>
      </w:r>
      <w:r w:rsidR="00804677" w:rsidRPr="00804677">
        <w:t>前に、狂気の社会モデルを主張した</w:t>
      </w:r>
      <w:r w:rsidR="000201A5">
        <w:rPr>
          <w:rStyle w:val="ac"/>
        </w:rPr>
        <w:footnoteReference w:id="79"/>
      </w:r>
      <w:r>
        <w:t>。最後に、アイデンティティは</w:t>
      </w:r>
      <w:r w:rsidR="00D015D9">
        <w:t>機能障害</w:t>
      </w:r>
      <w:r>
        <w:t>以</w:t>
      </w:r>
      <w:r w:rsidR="00206A18">
        <w:rPr>
          <w:rFonts w:hint="eastAsia"/>
        </w:rPr>
        <w:t>外</w:t>
      </w:r>
      <w:r>
        <w:t>のものによって形作られる可能性がある</w:t>
      </w:r>
      <w:r w:rsidR="00804677">
        <w:rPr>
          <w:rFonts w:hint="eastAsia"/>
        </w:rPr>
        <w:t>。ジェンダー、「人種」、</w:t>
      </w:r>
      <w:r>
        <w:t>性的指向およびアイデンティティ、年齢または宗教</w:t>
      </w:r>
      <w:r w:rsidR="00804677">
        <w:rPr>
          <w:rFonts w:hint="eastAsia"/>
        </w:rPr>
        <w:t>である</w:t>
      </w:r>
      <w:r>
        <w:t>。障害のある女性は、他のアイデンティティの特徴を無視した</w:t>
      </w:r>
      <w:r w:rsidR="00804677">
        <w:rPr>
          <w:rFonts w:hint="eastAsia"/>
        </w:rPr>
        <w:t>と、</w:t>
      </w:r>
      <w:r>
        <w:t>障害者の権利運動（および女性</w:t>
      </w:r>
      <w:r>
        <w:rPr>
          <w:rFonts w:hint="eastAsia"/>
        </w:rPr>
        <w:t>の運動）を批判した最初の人の</w:t>
      </w:r>
      <w:r w:rsidR="00804677">
        <w:rPr>
          <w:rFonts w:hint="eastAsia"/>
        </w:rPr>
        <w:t>一人である</w:t>
      </w:r>
      <w:r w:rsidR="000201A5">
        <w:rPr>
          <w:rStyle w:val="ac"/>
        </w:rPr>
        <w:footnoteReference w:id="80"/>
      </w:r>
      <w:r w:rsidR="00804677">
        <w:rPr>
          <w:rFonts w:hint="eastAsia"/>
        </w:rPr>
        <w:t>。有色の障害者が続き</w:t>
      </w:r>
      <w:r w:rsidR="000201A5">
        <w:rPr>
          <w:rStyle w:val="ac"/>
        </w:rPr>
        <w:footnoteReference w:id="81"/>
      </w:r>
      <w:r w:rsidR="00804677">
        <w:rPr>
          <w:rFonts w:hint="eastAsia"/>
        </w:rPr>
        <w:t>、アイシャ・ベルノンなど他の人が交差的差別や複合的差別の問題を提起した</w:t>
      </w:r>
      <w:r w:rsidR="000201A5">
        <w:rPr>
          <w:rStyle w:val="ac"/>
        </w:rPr>
        <w:footnoteReference w:id="82"/>
      </w:r>
      <w:r w:rsidR="00804677">
        <w:rPr>
          <w:rFonts w:hint="eastAsia"/>
        </w:rPr>
        <w:t>。</w:t>
      </w:r>
    </w:p>
    <w:p w:rsidR="00963C08" w:rsidRDefault="00804677" w:rsidP="00F463C9">
      <w:pPr>
        <w:ind w:firstLineChars="100" w:firstLine="210"/>
      </w:pPr>
      <w:r>
        <w:rPr>
          <w:rFonts w:hint="eastAsia"/>
        </w:rPr>
        <w:t>機能障害関連の</w:t>
      </w:r>
      <w:r w:rsidR="00963C08">
        <w:rPr>
          <w:rFonts w:hint="eastAsia"/>
        </w:rPr>
        <w:t>組織は</w:t>
      </w:r>
      <w:r>
        <w:rPr>
          <w:rFonts w:hint="eastAsia"/>
        </w:rPr>
        <w:t>、</w:t>
      </w:r>
      <w:r w:rsidR="00963C08">
        <w:rPr>
          <w:rFonts w:hint="eastAsia"/>
        </w:rPr>
        <w:t>非政治的自助グループまたは障害の医療化の</w:t>
      </w:r>
      <w:r w:rsidR="00963C08">
        <w:t>1例と見られていたので、</w:t>
      </w:r>
      <w:r w:rsidR="00D015D9">
        <w:t>機能障害</w:t>
      </w:r>
      <w:r w:rsidR="00963C08">
        <w:t>に関連するアイデンティティ</w:t>
      </w:r>
      <w:r>
        <w:rPr>
          <w:rFonts w:hint="eastAsia"/>
        </w:rPr>
        <w:t>政治</w:t>
      </w:r>
      <w:r w:rsidR="00963C08">
        <w:t>は社会モデル支持者</w:t>
      </w:r>
      <w:r>
        <w:rPr>
          <w:rFonts w:hint="eastAsia"/>
        </w:rPr>
        <w:t>から</w:t>
      </w:r>
      <w:r w:rsidR="00963C08">
        <w:t>疑い</w:t>
      </w:r>
      <w:r>
        <w:rPr>
          <w:rFonts w:hint="eastAsia"/>
        </w:rPr>
        <w:t>の目で</w:t>
      </w:r>
      <w:r w:rsidR="00963C08">
        <w:t>見られてきた。</w:t>
      </w:r>
      <w:r>
        <w:rPr>
          <w:rFonts w:hint="eastAsia"/>
        </w:rPr>
        <w:t>アニタ・シルバー</w:t>
      </w:r>
      <w:r w:rsidR="00963C08">
        <w:t>は、障害者コミュニティ</w:t>
      </w:r>
      <w:r>
        <w:rPr>
          <w:rFonts w:hint="eastAsia"/>
        </w:rPr>
        <w:t>が多様な人々で構成されているため</w:t>
      </w:r>
      <w:r w:rsidR="00963C08">
        <w:t>、あるいは</w:t>
      </w:r>
      <w:r>
        <w:rPr>
          <w:rFonts w:hint="eastAsia"/>
        </w:rPr>
        <w:t>介護者</w:t>
      </w:r>
      <w:r w:rsidR="00963C08">
        <w:t>や育児者としての女性の役割などの他の</w:t>
      </w:r>
      <w:r>
        <w:rPr>
          <w:rFonts w:hint="eastAsia"/>
        </w:rPr>
        <w:t>アイデンティティにかかわる構成概念が</w:t>
      </w:r>
      <w:r w:rsidR="00963C08">
        <w:t>一般に障害のある</w:t>
      </w:r>
      <w:r>
        <w:rPr>
          <w:rFonts w:hint="eastAsia"/>
        </w:rPr>
        <w:t>人々から</w:t>
      </w:r>
      <w:r w:rsidR="00963C08">
        <w:t>否定されているために、</w:t>
      </w:r>
      <w:r>
        <w:rPr>
          <w:rFonts w:hint="eastAsia"/>
        </w:rPr>
        <w:t>アイデンティティ</w:t>
      </w:r>
      <w:r w:rsidR="00963C08">
        <w:t>政治</w:t>
      </w:r>
      <w:r>
        <w:rPr>
          <w:rFonts w:hint="eastAsia"/>
        </w:rPr>
        <w:t>は</w:t>
      </w:r>
      <w:r w:rsidR="00963C08">
        <w:t>障害者に</w:t>
      </w:r>
      <w:r>
        <w:rPr>
          <w:rFonts w:hint="eastAsia"/>
        </w:rPr>
        <w:t>は</w:t>
      </w:r>
      <w:r w:rsidR="00963C08">
        <w:t>不適切であることを発見し</w:t>
      </w:r>
      <w:r w:rsidR="00F463C9">
        <w:t>た</w:t>
      </w:r>
      <w:r w:rsidR="000201A5">
        <w:rPr>
          <w:rStyle w:val="ac"/>
        </w:rPr>
        <w:footnoteReference w:id="83"/>
      </w:r>
      <w:r w:rsidR="00963C08">
        <w:t>。</w:t>
      </w:r>
      <w:r>
        <w:rPr>
          <w:rFonts w:hint="eastAsia"/>
        </w:rPr>
        <w:t>トム・シェイクスピアは、アイデンティティ</w:t>
      </w:r>
      <w:r w:rsidR="00963C08">
        <w:t>政治に対する批判とそれが障害者政治に与え</w:t>
      </w:r>
      <w:r>
        <w:rPr>
          <w:rFonts w:hint="eastAsia"/>
        </w:rPr>
        <w:t>かねない損害についての有益な要約を提供した</w:t>
      </w:r>
      <w:r w:rsidR="000201A5">
        <w:rPr>
          <w:rStyle w:val="ac"/>
        </w:rPr>
        <w:footnoteReference w:id="84"/>
      </w:r>
      <w:r>
        <w:rPr>
          <w:rFonts w:hint="eastAsia"/>
        </w:rPr>
        <w:t>。障害者の社会モデルの</w:t>
      </w:r>
      <w:r w:rsidR="00206A18">
        <w:rPr>
          <w:rFonts w:hint="eastAsia"/>
        </w:rPr>
        <w:t>初期</w:t>
      </w:r>
      <w:r>
        <w:rPr>
          <w:rFonts w:hint="eastAsia"/>
        </w:rPr>
        <w:t>から、</w:t>
      </w:r>
      <w:r w:rsidR="00963C08">
        <w:t>性差別や人</w:t>
      </w:r>
      <w:r w:rsidR="00963C08">
        <w:rPr>
          <w:rFonts w:hint="eastAsia"/>
        </w:rPr>
        <w:t>種差別のような他の抑圧システムは、アイデンティティと社会的地位を構築する重要な要素として認められてい</w:t>
      </w:r>
      <w:r>
        <w:rPr>
          <w:rFonts w:hint="eastAsia"/>
        </w:rPr>
        <w:t>た</w:t>
      </w:r>
      <w:r w:rsidR="000201A5">
        <w:rPr>
          <w:rStyle w:val="ac"/>
        </w:rPr>
        <w:footnoteReference w:id="85"/>
      </w:r>
      <w:r w:rsidR="00963C08">
        <w:t>。</w:t>
      </w:r>
      <w:r>
        <w:rPr>
          <w:rFonts w:hint="eastAsia"/>
        </w:rPr>
        <w:t>しかし</w:t>
      </w:r>
      <w:r w:rsidR="00963C08">
        <w:t>障害の社会モデルは抑圧のあらゆる</w:t>
      </w:r>
      <w:r>
        <w:rPr>
          <w:rFonts w:hint="eastAsia"/>
        </w:rPr>
        <w:t>多様な</w:t>
      </w:r>
      <w:r w:rsidR="00963C08">
        <w:t>経験を網羅することを意図したものではないと</w:t>
      </w:r>
      <w:r w:rsidR="00206A18">
        <w:rPr>
          <w:rFonts w:hint="eastAsia"/>
        </w:rPr>
        <w:t>了解されて</w:t>
      </w:r>
      <w:r w:rsidR="00963C08">
        <w:t>きた</w:t>
      </w:r>
      <w:r w:rsidR="000201A5">
        <w:rPr>
          <w:rStyle w:val="ac"/>
        </w:rPr>
        <w:footnoteReference w:id="86"/>
      </w:r>
      <w:r w:rsidR="00963C08">
        <w:t>。</w:t>
      </w:r>
    </w:p>
    <w:p w:rsidR="00963C08" w:rsidRDefault="00963C08" w:rsidP="00F463C9">
      <w:pPr>
        <w:ind w:firstLineChars="100" w:firstLine="210"/>
      </w:pPr>
      <w:r>
        <w:rPr>
          <w:rFonts w:hint="eastAsia"/>
        </w:rPr>
        <w:t>人権</w:t>
      </w:r>
      <w:r w:rsidR="00804677">
        <w:rPr>
          <w:rFonts w:hint="eastAsia"/>
        </w:rPr>
        <w:t>法令</w:t>
      </w:r>
      <w:r>
        <w:rPr>
          <w:rFonts w:hint="eastAsia"/>
        </w:rPr>
        <w:t>は少なくとも部分的には</w:t>
      </w:r>
      <w:r w:rsidR="00804677">
        <w:rPr>
          <w:rFonts w:hint="eastAsia"/>
        </w:rPr>
        <w:t>不公正</w:t>
      </w:r>
      <w:r>
        <w:rPr>
          <w:rFonts w:hint="eastAsia"/>
        </w:rPr>
        <w:t>の集団的経験に対する政治的対応である。第二次世界大戦後に発展した人権法の歴史は、アイデンティティに基づく社会運動が国際法の制定において強力な役割を果たしてきたことを示して</w:t>
      </w:r>
      <w:r w:rsidR="00D015D9">
        <w:rPr>
          <w:rFonts w:hint="eastAsia"/>
        </w:rPr>
        <w:t>いる</w:t>
      </w:r>
      <w:r w:rsidR="000201A5">
        <w:rPr>
          <w:rStyle w:val="ac"/>
        </w:rPr>
        <w:footnoteReference w:id="87"/>
      </w:r>
      <w:r>
        <w:t>。現在の中心的人権条約はこのプロセスの現れ</w:t>
      </w:r>
      <w:r w:rsidR="00F463C9">
        <w:t>である</w:t>
      </w:r>
      <w:r>
        <w:t>。1965年のあらゆる形態の人種差別の撤廃に関する国際条約（CERD）、ならびに1990年のすべての移民労働者およびその家族の権利の保護に関する国際条約（CRMW）は、植民地化と人種差別への対応である。1979年の女性に対するあらゆる形態の差別の撤</w:t>
      </w:r>
      <w:r>
        <w:rPr>
          <w:rFonts w:hint="eastAsia"/>
        </w:rPr>
        <w:t>廃に関する条約（</w:t>
      </w:r>
      <w:r>
        <w:t>CEDAW）は性差別主義への対応であり、1989年の</w:t>
      </w:r>
      <w:r w:rsidR="00804677">
        <w:rPr>
          <w:rFonts w:hint="eastAsia"/>
        </w:rPr>
        <w:t>子ども</w:t>
      </w:r>
      <w:r>
        <w:t>の権利に関する条約（CRC）は成人</w:t>
      </w:r>
      <w:r w:rsidR="00804677">
        <w:rPr>
          <w:rFonts w:hint="eastAsia"/>
        </w:rPr>
        <w:t>主義（</w:t>
      </w:r>
      <w:r w:rsidR="00804677" w:rsidRPr="00804677">
        <w:t>adultism</w:t>
      </w:r>
      <w:r w:rsidR="00804677">
        <w:rPr>
          <w:rFonts w:hint="eastAsia"/>
        </w:rPr>
        <w:t>）</w:t>
      </w:r>
      <w:r>
        <w:t>に対する答えであり、CRPDは能力主義</w:t>
      </w:r>
      <w:r w:rsidR="00804677">
        <w:rPr>
          <w:rFonts w:hint="eastAsia"/>
        </w:rPr>
        <w:t>（</w:t>
      </w:r>
      <w:r w:rsidR="00804677" w:rsidRPr="00804677">
        <w:t>ableism</w:t>
      </w:r>
      <w:r w:rsidR="00804677">
        <w:rPr>
          <w:rFonts w:hint="eastAsia"/>
        </w:rPr>
        <w:t>）</w:t>
      </w:r>
      <w:r>
        <w:t>に対する答えである。これらのテーマ別人権条約の発展は、人権の擬人化</w:t>
      </w:r>
      <w:r w:rsidR="000201A5">
        <w:rPr>
          <w:rStyle w:val="ac"/>
        </w:rPr>
        <w:footnoteReference w:id="88"/>
      </w:r>
      <w:r>
        <w:t>および複数化</w:t>
      </w:r>
      <w:r w:rsidR="000201A5">
        <w:rPr>
          <w:rStyle w:val="ac"/>
        </w:rPr>
        <w:footnoteReference w:id="89"/>
      </w:r>
      <w:r>
        <w:t>と呼ばれてき</w:t>
      </w:r>
      <w:r w:rsidR="00F463C9">
        <w:t>た</w:t>
      </w:r>
      <w:r>
        <w:t>。これらの条約が採択されたのは、国際人権法典に基づいて開発された人権政治および理論が主に西洋、白人、男性、障害のない成人の経験に基づいており、他の個人の経験を無視しているため</w:t>
      </w:r>
      <w:r w:rsidR="00F463C9">
        <w:t>である</w:t>
      </w:r>
      <w:r>
        <w:t>。この</w:t>
      </w:r>
      <w:r w:rsidR="00804677">
        <w:rPr>
          <w:rFonts w:hint="eastAsia"/>
        </w:rPr>
        <w:t>無視</w:t>
      </w:r>
      <w:r>
        <w:t>は、「人種」、</w:t>
      </w:r>
      <w:r w:rsidR="00804677">
        <w:rPr>
          <w:rFonts w:hint="eastAsia"/>
        </w:rPr>
        <w:t>ジェンダー</w:t>
      </w:r>
      <w:r>
        <w:t>、セクシュアリティ、身体</w:t>
      </w:r>
      <w:r w:rsidR="00804677">
        <w:rPr>
          <w:rFonts w:hint="eastAsia"/>
        </w:rPr>
        <w:t>と</w:t>
      </w:r>
      <w:r>
        <w:t>心の機能などの不平等の軸に沿っ</w:t>
      </w:r>
      <w:r>
        <w:rPr>
          <w:rFonts w:hint="eastAsia"/>
        </w:rPr>
        <w:t>て走るさまざまな従属体系を反映したものであり、</w:t>
      </w:r>
      <w:r w:rsidR="00804677">
        <w:rPr>
          <w:rFonts w:hint="eastAsia"/>
        </w:rPr>
        <w:t>今も</w:t>
      </w:r>
      <w:r>
        <w:rPr>
          <w:rFonts w:hint="eastAsia"/>
        </w:rPr>
        <w:t>それを反映して</w:t>
      </w:r>
      <w:r w:rsidR="00D015D9">
        <w:rPr>
          <w:rFonts w:hint="eastAsia"/>
        </w:rPr>
        <w:t>いる</w:t>
      </w:r>
      <w:r>
        <w:rPr>
          <w:rFonts w:hint="eastAsia"/>
        </w:rPr>
        <w:t>。これらの従属システムに反対する社会運動の出現は、ジェンダー研究、人種研究、障害</w:t>
      </w:r>
      <w:r w:rsidR="00206A18">
        <w:rPr>
          <w:rFonts w:hint="eastAsia"/>
        </w:rPr>
        <w:t>学</w:t>
      </w:r>
      <w:r>
        <w:rPr>
          <w:rFonts w:hint="eastAsia"/>
        </w:rPr>
        <w:t>などの批判的研究</w:t>
      </w:r>
      <w:r w:rsidR="00804677">
        <w:rPr>
          <w:rFonts w:hint="eastAsia"/>
        </w:rPr>
        <w:t>を</w:t>
      </w:r>
      <w:r>
        <w:rPr>
          <w:rFonts w:hint="eastAsia"/>
        </w:rPr>
        <w:t>誕生</w:t>
      </w:r>
      <w:r w:rsidR="00804677">
        <w:rPr>
          <w:rFonts w:hint="eastAsia"/>
        </w:rPr>
        <w:t>させた</w:t>
      </w:r>
      <w:r>
        <w:rPr>
          <w:rFonts w:hint="eastAsia"/>
        </w:rPr>
        <w:t>。道徳法としての、そしてイデオロギーとしての人権法は、国家間の政治的対立の反映、あるいは世界的および国内の権力関係の反映であるだけでなく、社会変革のためのツールでも</w:t>
      </w:r>
      <w:r w:rsidR="00D015D9">
        <w:rPr>
          <w:rFonts w:hint="eastAsia"/>
        </w:rPr>
        <w:t>ある</w:t>
      </w:r>
      <w:r>
        <w:rPr>
          <w:rFonts w:hint="eastAsia"/>
        </w:rPr>
        <w:t>。成功し</w:t>
      </w:r>
      <w:r w:rsidR="00804677">
        <w:rPr>
          <w:rFonts w:hint="eastAsia"/>
        </w:rPr>
        <w:t>ているかどうかは</w:t>
      </w:r>
      <w:r>
        <w:rPr>
          <w:rFonts w:hint="eastAsia"/>
        </w:rPr>
        <w:t>議論</w:t>
      </w:r>
      <w:r w:rsidR="00804677">
        <w:rPr>
          <w:rFonts w:hint="eastAsia"/>
        </w:rPr>
        <w:t>の予知があるが</w:t>
      </w:r>
      <w:r>
        <w:rPr>
          <w:rFonts w:hint="eastAsia"/>
        </w:rPr>
        <w:t>、人権法のこれらの異なる機能を認めることは重要</w:t>
      </w:r>
      <w:r w:rsidR="00F463C9">
        <w:rPr>
          <w:rFonts w:hint="eastAsia"/>
        </w:rPr>
        <w:t>である</w:t>
      </w:r>
      <w:r>
        <w:rPr>
          <w:rFonts w:hint="eastAsia"/>
        </w:rPr>
        <w:t>。現在の人権条約は第二次世界大戦と冷戦</w:t>
      </w:r>
      <w:r w:rsidR="00804677">
        <w:rPr>
          <w:rFonts w:hint="eastAsia"/>
        </w:rPr>
        <w:t>という</w:t>
      </w:r>
      <w:r>
        <w:rPr>
          <w:rFonts w:hint="eastAsia"/>
        </w:rPr>
        <w:t>紛争の結果かもしれ</w:t>
      </w:r>
      <w:r w:rsidR="00D015D9">
        <w:rPr>
          <w:rFonts w:hint="eastAsia"/>
        </w:rPr>
        <w:t>ない</w:t>
      </w:r>
      <w:r>
        <w:rPr>
          <w:rFonts w:hint="eastAsia"/>
        </w:rPr>
        <w:t>が、それはまた解放と</w:t>
      </w:r>
      <w:r w:rsidR="00804677">
        <w:rPr>
          <w:rFonts w:hint="eastAsia"/>
        </w:rPr>
        <w:t>社会運動の</w:t>
      </w:r>
      <w:r>
        <w:rPr>
          <w:rFonts w:hint="eastAsia"/>
        </w:rPr>
        <w:t>民主的な利益を反映して</w:t>
      </w:r>
      <w:r w:rsidR="00D015D9">
        <w:rPr>
          <w:rFonts w:hint="eastAsia"/>
        </w:rPr>
        <w:t>いる</w:t>
      </w:r>
      <w:r>
        <w:rPr>
          <w:rFonts w:hint="eastAsia"/>
        </w:rPr>
        <w:t>。例えばフェミニズムは、過去数十年間の国際公法</w:t>
      </w:r>
      <w:r w:rsidR="00804677">
        <w:rPr>
          <w:rFonts w:hint="eastAsia"/>
        </w:rPr>
        <w:t>の理論と実践に</w:t>
      </w:r>
      <w:r>
        <w:rPr>
          <w:rFonts w:hint="eastAsia"/>
        </w:rPr>
        <w:t>大きな影響を与え</w:t>
      </w:r>
      <w:r w:rsidR="00F463C9">
        <w:rPr>
          <w:rFonts w:hint="eastAsia"/>
        </w:rPr>
        <w:t>た</w:t>
      </w:r>
      <w:r>
        <w:rPr>
          <w:rFonts w:hint="eastAsia"/>
        </w:rPr>
        <w:t>。私生活と公</w:t>
      </w:r>
      <w:r w:rsidR="00804677">
        <w:rPr>
          <w:rFonts w:hint="eastAsia"/>
        </w:rPr>
        <w:t>的</w:t>
      </w:r>
      <w:r>
        <w:rPr>
          <w:rFonts w:hint="eastAsia"/>
        </w:rPr>
        <w:t>生活の間の人為的な区別と、国家が公共圏での違反に対して</w:t>
      </w:r>
      <w:r w:rsidR="00804677">
        <w:rPr>
          <w:rFonts w:hint="eastAsia"/>
        </w:rPr>
        <w:t>のみ</w:t>
      </w:r>
      <w:r>
        <w:rPr>
          <w:rFonts w:hint="eastAsia"/>
        </w:rPr>
        <w:t>責任を負うという仮定は、フェミニストの国際弁護士によって</w:t>
      </w:r>
      <w:r w:rsidR="00804677">
        <w:rPr>
          <w:rFonts w:hint="eastAsia"/>
        </w:rPr>
        <w:t>打ち負かされた。</w:t>
      </w:r>
      <w:r>
        <w:rPr>
          <w:rFonts w:hint="eastAsia"/>
        </w:rPr>
        <w:t>国際法における公私の区別は、人権侵害に関する男性の経験の覇権の結果である。</w:t>
      </w:r>
      <w:r w:rsidR="00804677">
        <w:t>家庭内暴力のような私的領域で</w:t>
      </w:r>
      <w:r w:rsidR="00804677">
        <w:rPr>
          <w:rFonts w:hint="eastAsia"/>
        </w:rPr>
        <w:t>起きている</w:t>
      </w:r>
      <w:r w:rsidR="00804677">
        <w:t>人権侵害</w:t>
      </w:r>
      <w:r w:rsidR="00804677">
        <w:rPr>
          <w:rFonts w:hint="eastAsia"/>
        </w:rPr>
        <w:t>は、</w:t>
      </w:r>
      <w:r>
        <w:rPr>
          <w:rFonts w:hint="eastAsia"/>
        </w:rPr>
        <w:t>国際人権法の最初の</w:t>
      </w:r>
      <w:r>
        <w:t>40年</w:t>
      </w:r>
      <w:r w:rsidR="00804677">
        <w:rPr>
          <w:rFonts w:hint="eastAsia"/>
        </w:rPr>
        <w:t>間は</w:t>
      </w:r>
      <w:r>
        <w:t>無視され</w:t>
      </w:r>
      <w:r w:rsidR="00804677">
        <w:rPr>
          <w:rFonts w:hint="eastAsia"/>
        </w:rPr>
        <w:t>てきた。ヒラリー・チャールスワース、クリスティン・チンキン</w:t>
      </w:r>
      <w:r w:rsidR="000201A5">
        <w:rPr>
          <w:rStyle w:val="ac"/>
        </w:rPr>
        <w:footnoteReference w:id="90"/>
      </w:r>
      <w:r w:rsidR="00804677">
        <w:rPr>
          <w:rFonts w:hint="eastAsia"/>
        </w:rPr>
        <w:t>、キャサリン・マキノン</w:t>
      </w:r>
      <w:r w:rsidR="000201A5">
        <w:rPr>
          <w:rStyle w:val="ac"/>
        </w:rPr>
        <w:footnoteReference w:id="91"/>
      </w:r>
      <w:r>
        <w:t>などのフェミニストの法学者は、この人為的な区別は女性の経験を無視するだけでなく、</w:t>
      </w:r>
      <w:r w:rsidR="00804677">
        <w:t>国家の</w:t>
      </w:r>
      <w:r>
        <w:t>加害者</w:t>
      </w:r>
      <w:r w:rsidR="00804677">
        <w:rPr>
          <w:rFonts w:hint="eastAsia"/>
        </w:rPr>
        <w:t>との</w:t>
      </w:r>
      <w:r>
        <w:t>共犯を隠すのにも役立</w:t>
      </w:r>
      <w:r w:rsidR="00804677">
        <w:rPr>
          <w:rFonts w:hint="eastAsia"/>
        </w:rPr>
        <w:t>ち、</w:t>
      </w:r>
      <w:r w:rsidR="00804677" w:rsidRPr="00804677">
        <w:rPr>
          <w:rFonts w:hint="eastAsia"/>
        </w:rPr>
        <w:t>この法理は家父長的従属を安定させる</w:t>
      </w:r>
      <w:r>
        <w:t>と主張し</w:t>
      </w:r>
      <w:r w:rsidR="00804677">
        <w:rPr>
          <w:rFonts w:hint="eastAsia"/>
        </w:rPr>
        <w:t>た</w:t>
      </w:r>
      <w:r>
        <w:t>。</w:t>
      </w:r>
      <w:r w:rsidR="007A4632">
        <w:rPr>
          <w:rFonts w:hint="eastAsia"/>
        </w:rPr>
        <w:t>マツダ・マリ</w:t>
      </w:r>
      <w:r w:rsidR="007A4632">
        <w:rPr>
          <w:rStyle w:val="ac"/>
        </w:rPr>
        <w:footnoteReference w:id="92"/>
      </w:r>
      <w:r>
        <w:t>や</w:t>
      </w:r>
      <w:r w:rsidR="00804677">
        <w:rPr>
          <w:rFonts w:hint="eastAsia"/>
        </w:rPr>
        <w:t>アンジェラ・ハリス</w:t>
      </w:r>
      <w:r w:rsidR="007A4632">
        <w:rPr>
          <w:rStyle w:val="ac"/>
        </w:rPr>
        <w:footnoteReference w:id="93"/>
      </w:r>
      <w:r>
        <w:t>などのフェミニスト</w:t>
      </w:r>
      <w:r w:rsidR="00804677">
        <w:rPr>
          <w:rFonts w:hint="eastAsia"/>
        </w:rPr>
        <w:t>の</w:t>
      </w:r>
      <w:r w:rsidR="00804677">
        <w:t>批判的な</w:t>
      </w:r>
      <w:r>
        <w:t>人種</w:t>
      </w:r>
      <w:r w:rsidR="000D16FB">
        <w:rPr>
          <w:rFonts w:hint="eastAsia"/>
        </w:rPr>
        <w:t>分野の</w:t>
      </w:r>
      <w:r>
        <w:t>弁護士は、公民権法に反本質主義的アプローチを導入することによって、フェミニスト法理論をさらに一歩進め</w:t>
      </w:r>
      <w:r w:rsidR="00F463C9">
        <w:t>た</w:t>
      </w:r>
      <w:r>
        <w:t>。したがって私は、これらのグル</w:t>
      </w:r>
      <w:r>
        <w:rPr>
          <w:rFonts w:hint="eastAsia"/>
        </w:rPr>
        <w:t>ープ特有の人権</w:t>
      </w:r>
      <w:r w:rsidR="00804677">
        <w:rPr>
          <w:rFonts w:hint="eastAsia"/>
        </w:rPr>
        <w:t>法令を</w:t>
      </w:r>
      <w:r>
        <w:rPr>
          <w:rFonts w:hint="eastAsia"/>
        </w:rPr>
        <w:t>これらのグループに特有の何かがあ</w:t>
      </w:r>
      <w:r w:rsidR="00804677">
        <w:rPr>
          <w:rFonts w:hint="eastAsia"/>
        </w:rPr>
        <w:t>り、それは人間の全ジャンルを網羅するという野心的な人権法令では十分に配慮できない、</w:t>
      </w:r>
      <w:r>
        <w:rPr>
          <w:rFonts w:hint="eastAsia"/>
        </w:rPr>
        <w:t>という</w:t>
      </w:r>
      <w:r w:rsidR="00804677">
        <w:rPr>
          <w:rFonts w:hint="eastAsia"/>
        </w:rPr>
        <w:t>証拠</w:t>
      </w:r>
      <w:r>
        <w:rPr>
          <w:rFonts w:hint="eastAsia"/>
        </w:rPr>
        <w:t>として見るよりもむしろ</w:t>
      </w:r>
      <w:r w:rsidR="00804677">
        <w:rPr>
          <w:rFonts w:hint="eastAsia"/>
        </w:rPr>
        <w:t>、</w:t>
      </w:r>
      <w:r w:rsidR="00804677">
        <w:t>現在の人権法は、</w:t>
      </w:r>
      <w:r>
        <w:rPr>
          <w:rFonts w:hint="eastAsia"/>
        </w:rPr>
        <w:t>人権法が真に普遍的になった結果であると主張する</w:t>
      </w:r>
      <w:r w:rsidR="007A4632">
        <w:rPr>
          <w:rStyle w:val="ac"/>
        </w:rPr>
        <w:footnoteReference w:id="94"/>
      </w:r>
      <w:r>
        <w:rPr>
          <w:rFonts w:hint="eastAsia"/>
        </w:rPr>
        <w:t>。</w:t>
      </w:r>
    </w:p>
    <w:p w:rsidR="00440FA5" w:rsidRDefault="00440FA5" w:rsidP="00F463C9">
      <w:pPr>
        <w:ind w:firstLineChars="100" w:firstLine="210"/>
      </w:pPr>
      <w:r>
        <w:rPr>
          <w:rFonts w:hint="eastAsia"/>
        </w:rPr>
        <w:t>既存の中核的人権条約の規範に基づいた障害の人権モデルでは、アイデンティティ</w:t>
      </w:r>
      <w:r w:rsidR="00B30EB2">
        <w:rPr>
          <w:rFonts w:hint="eastAsia"/>
        </w:rPr>
        <w:t>のさまざまな層</w:t>
      </w:r>
      <w:r>
        <w:rPr>
          <w:rFonts w:hint="eastAsia"/>
        </w:rPr>
        <w:t>を考慮して</w:t>
      </w:r>
      <w:r w:rsidR="00D015D9">
        <w:rPr>
          <w:rFonts w:hint="eastAsia"/>
        </w:rPr>
        <w:t>いる</w:t>
      </w:r>
      <w:r>
        <w:rPr>
          <w:rFonts w:hint="eastAsia"/>
        </w:rPr>
        <w:t>。それは、障害者が男性でも女性でも、白人以外でも、障害者でも、子供でも、移住者でも</w:t>
      </w:r>
      <w:r w:rsidR="00B30EB2">
        <w:rPr>
          <w:rFonts w:hint="eastAsia"/>
        </w:rPr>
        <w:t>ある可能性を</w:t>
      </w:r>
      <w:r>
        <w:rPr>
          <w:rFonts w:hint="eastAsia"/>
        </w:rPr>
        <w:t>認めて</w:t>
      </w:r>
      <w:r w:rsidR="00D015D9">
        <w:rPr>
          <w:rFonts w:hint="eastAsia"/>
        </w:rPr>
        <w:t>いる</w:t>
      </w:r>
      <w:r>
        <w:rPr>
          <w:rFonts w:hint="eastAsia"/>
        </w:rPr>
        <w:t>。国際人権法では考慮すべき</w:t>
      </w:r>
      <w:r w:rsidR="00B30EB2">
        <w:rPr>
          <w:rFonts w:hint="eastAsia"/>
        </w:rPr>
        <w:t>アイデンティティ</w:t>
      </w:r>
      <w:r>
        <w:rPr>
          <w:rFonts w:hint="eastAsia"/>
        </w:rPr>
        <w:t>の層が他にもあること</w:t>
      </w:r>
      <w:r w:rsidR="007A4632">
        <w:rPr>
          <w:rStyle w:val="ac"/>
        </w:rPr>
        <w:footnoteReference w:id="95"/>
      </w:r>
      <w:r w:rsidR="00B30EB2">
        <w:rPr>
          <w:rFonts w:hint="eastAsia"/>
        </w:rPr>
        <w:t>、</w:t>
      </w:r>
      <w:r>
        <w:t>そして差別の</w:t>
      </w:r>
      <w:r w:rsidR="00B30EB2">
        <w:rPr>
          <w:rFonts w:hint="eastAsia"/>
        </w:rPr>
        <w:t>交差</w:t>
      </w:r>
      <w:r>
        <w:t>性の問題はまだ解決されていないことは明らかである</w:t>
      </w:r>
      <w:r w:rsidR="007A4632">
        <w:rPr>
          <w:rStyle w:val="ac"/>
        </w:rPr>
        <w:footnoteReference w:id="96"/>
      </w:r>
      <w:r>
        <w:t>。</w:t>
      </w:r>
    </w:p>
    <w:p w:rsidR="00C3504A" w:rsidRDefault="00440FA5" w:rsidP="00F463C9">
      <w:pPr>
        <w:ind w:firstLineChars="100" w:firstLine="210"/>
      </w:pPr>
      <w:r>
        <w:rPr>
          <w:rFonts w:hint="eastAsia"/>
        </w:rPr>
        <w:t>人権法</w:t>
      </w:r>
      <w:r w:rsidR="00B30EB2">
        <w:rPr>
          <w:rFonts w:hint="eastAsia"/>
        </w:rPr>
        <w:t>一般</w:t>
      </w:r>
      <w:r>
        <w:rPr>
          <w:rFonts w:hint="eastAsia"/>
        </w:rPr>
        <w:t>に加えて、</w:t>
      </w:r>
      <w:r>
        <w:t>CRPDは障害と人権の文脈の中での</w:t>
      </w:r>
      <w:r w:rsidR="00B30EB2">
        <w:rPr>
          <w:rFonts w:hint="eastAsia"/>
        </w:rPr>
        <w:t>アイデンティティ</w:t>
      </w:r>
      <w:r>
        <w:t>のさまざまな層も認めて</w:t>
      </w:r>
      <w:r w:rsidR="00D015D9">
        <w:t>いる</w:t>
      </w:r>
      <w:r>
        <w:t>。例えば、障害のある子どもや障害のある女性は、それぞれの独立した条項を持って</w:t>
      </w:r>
      <w:r w:rsidR="00D015D9">
        <w:t>いる</w:t>
      </w:r>
      <w:r w:rsidR="007A4632">
        <w:rPr>
          <w:rStyle w:val="ac"/>
        </w:rPr>
        <w:footnoteReference w:id="97"/>
      </w:r>
      <w:r>
        <w:t>。女性の条項</w:t>
      </w:r>
      <w:r w:rsidR="00B30EB2">
        <w:rPr>
          <w:rFonts w:hint="eastAsia"/>
        </w:rPr>
        <w:t>で</w:t>
      </w:r>
      <w:r>
        <w:t>は、「障害のある女性と少女は複数の差別の対象となる」ということさえ認めて</w:t>
      </w:r>
      <w:r w:rsidR="00B30EB2">
        <w:rPr>
          <w:rFonts w:hint="eastAsia"/>
        </w:rPr>
        <w:t>おり、人権条約の中で初めて交差性を取り上げた条文である。そのほか</w:t>
      </w:r>
      <w:r>
        <w:t>性別や年齢の認識は条約のいたるところに見られる</w:t>
      </w:r>
      <w:r w:rsidR="007A4632">
        <w:rPr>
          <w:rStyle w:val="ac"/>
        </w:rPr>
        <w:footnoteReference w:id="98"/>
      </w:r>
      <w:r>
        <w:t>。</w:t>
      </w:r>
      <w:r w:rsidR="00B30EB2">
        <w:rPr>
          <w:rFonts w:hint="eastAsia"/>
        </w:rPr>
        <w:t>しかし</w:t>
      </w:r>
      <w:r>
        <w:t>「人種」、</w:t>
      </w:r>
      <w:r w:rsidR="00B30EB2">
        <w:rPr>
          <w:rFonts w:hint="eastAsia"/>
        </w:rPr>
        <w:t>皮膚の</w:t>
      </w:r>
      <w:r>
        <w:t>色、言語、宗教、政治的またはその他の意見、</w:t>
      </w:r>
      <w:r w:rsidR="00B30EB2">
        <w:rPr>
          <w:rFonts w:hint="eastAsia"/>
        </w:rPr>
        <w:t>国籍</w:t>
      </w:r>
      <w:r>
        <w:t>、民族、先住民または社会的</w:t>
      </w:r>
      <w:r w:rsidR="00B30EB2">
        <w:rPr>
          <w:rFonts w:hint="eastAsia"/>
        </w:rPr>
        <w:t>出身</w:t>
      </w:r>
      <w:r>
        <w:t>、財産、出生</w:t>
      </w:r>
      <w:r w:rsidR="00B30EB2">
        <w:rPr>
          <w:rFonts w:hint="eastAsia"/>
        </w:rPr>
        <w:t>、</w:t>
      </w:r>
      <w:r>
        <w:t>年齢などのその他の根拠</w:t>
      </w:r>
      <w:r w:rsidR="00B30EB2">
        <w:rPr>
          <w:rFonts w:hint="eastAsia"/>
        </w:rPr>
        <w:t>については</w:t>
      </w:r>
      <w:r>
        <w:t>、序文でしか認識されてい</w:t>
      </w:r>
      <w:r w:rsidR="00D015D9">
        <w:t>ない</w:t>
      </w:r>
      <w:r w:rsidR="007A4632">
        <w:rPr>
          <w:rStyle w:val="ac"/>
        </w:rPr>
        <w:footnoteReference w:id="99"/>
      </w:r>
      <w:r>
        <w:rPr>
          <w:rFonts w:hint="eastAsia"/>
        </w:rPr>
        <w:t>。これらおよび</w:t>
      </w:r>
      <w:r w:rsidR="00B30EB2">
        <w:rPr>
          <w:rFonts w:hint="eastAsia"/>
        </w:rPr>
        <w:t>年齢や性的指向性などの</w:t>
      </w:r>
      <w:r>
        <w:rPr>
          <w:rFonts w:hint="eastAsia"/>
        </w:rPr>
        <w:t>他の</w:t>
      </w:r>
      <w:r w:rsidR="00B30EB2">
        <w:rPr>
          <w:rFonts w:hint="eastAsia"/>
        </w:rPr>
        <w:t>アイデンティティ</w:t>
      </w:r>
      <w:r>
        <w:rPr>
          <w:rFonts w:hint="eastAsia"/>
        </w:rPr>
        <w:t>の層については、交渉</w:t>
      </w:r>
      <w:r w:rsidR="00B30EB2">
        <w:rPr>
          <w:rFonts w:hint="eastAsia"/>
        </w:rPr>
        <w:t>期間</w:t>
      </w:r>
      <w:r>
        <w:rPr>
          <w:rFonts w:hint="eastAsia"/>
        </w:rPr>
        <w:t>中のロビー活動は十分に強力では</w:t>
      </w:r>
      <w:r w:rsidR="00B30EB2">
        <w:rPr>
          <w:rFonts w:hint="eastAsia"/>
        </w:rPr>
        <w:t>なかった。</w:t>
      </w:r>
    </w:p>
    <w:p w:rsidR="00440FA5" w:rsidRDefault="00B30EB2" w:rsidP="00F463C9">
      <w:pPr>
        <w:ind w:firstLineChars="100" w:firstLine="210"/>
      </w:pPr>
      <w:r>
        <w:rPr>
          <w:rFonts w:hint="eastAsia"/>
        </w:rPr>
        <w:t>しかし</w:t>
      </w:r>
      <w:r w:rsidR="00440FA5">
        <w:rPr>
          <w:rFonts w:hint="eastAsia"/>
        </w:rPr>
        <w:t>いくつかの</w:t>
      </w:r>
      <w:r w:rsidR="00D015D9">
        <w:rPr>
          <w:rFonts w:hint="eastAsia"/>
        </w:rPr>
        <w:t>機能障害</w:t>
      </w:r>
      <w:r w:rsidR="00440FA5">
        <w:rPr>
          <w:rFonts w:hint="eastAsia"/>
        </w:rPr>
        <w:t>関連グループが認識されて</w:t>
      </w:r>
      <w:r w:rsidR="00D015D9">
        <w:rPr>
          <w:rFonts w:hint="eastAsia"/>
        </w:rPr>
        <w:t>いる</w:t>
      </w:r>
      <w:r w:rsidR="00440FA5">
        <w:rPr>
          <w:rFonts w:hint="eastAsia"/>
        </w:rPr>
        <w:t>。</w:t>
      </w:r>
      <w:r>
        <w:rPr>
          <w:rFonts w:hint="eastAsia"/>
        </w:rPr>
        <w:t>それ</w:t>
      </w:r>
      <w:r w:rsidR="00440FA5">
        <w:rPr>
          <w:rFonts w:hint="eastAsia"/>
        </w:rPr>
        <w:t>は</w:t>
      </w:r>
      <w:r>
        <w:rPr>
          <w:rFonts w:hint="eastAsia"/>
        </w:rPr>
        <w:t>ろう</w:t>
      </w:r>
      <w:r w:rsidR="00440FA5">
        <w:rPr>
          <w:rFonts w:hint="eastAsia"/>
        </w:rPr>
        <w:t>者、</w:t>
      </w:r>
      <w:r>
        <w:rPr>
          <w:rFonts w:hint="eastAsia"/>
        </w:rPr>
        <w:t>盲人</w:t>
      </w:r>
      <w:r w:rsidR="00440FA5">
        <w:rPr>
          <w:rFonts w:hint="eastAsia"/>
        </w:rPr>
        <w:t>および</w:t>
      </w:r>
      <w:r>
        <w:rPr>
          <w:rFonts w:hint="eastAsia"/>
        </w:rPr>
        <w:t>盲ろう</w:t>
      </w:r>
      <w:r w:rsidR="00440FA5">
        <w:rPr>
          <w:rFonts w:hint="eastAsia"/>
        </w:rPr>
        <w:t>者</w:t>
      </w:r>
      <w:r w:rsidR="00F463C9">
        <w:rPr>
          <w:rFonts w:hint="eastAsia"/>
        </w:rPr>
        <w:t>である</w:t>
      </w:r>
      <w:r w:rsidR="00440FA5">
        <w:rPr>
          <w:rFonts w:hint="eastAsia"/>
        </w:rPr>
        <w:t>。文化</w:t>
      </w:r>
      <w:r>
        <w:rPr>
          <w:rFonts w:hint="eastAsia"/>
        </w:rPr>
        <w:t>への</w:t>
      </w:r>
      <w:r w:rsidR="00440FA5">
        <w:rPr>
          <w:rFonts w:hint="eastAsia"/>
        </w:rPr>
        <w:t>参加に関する</w:t>
      </w:r>
      <w:r w:rsidR="00440FA5">
        <w:t>CRPD</w:t>
      </w:r>
      <w:r>
        <w:rPr>
          <w:rFonts w:hint="eastAsia"/>
        </w:rPr>
        <w:t>第30条</w:t>
      </w:r>
      <w:r w:rsidR="00440FA5">
        <w:t>は、</w:t>
      </w:r>
      <w:r>
        <w:rPr>
          <w:rFonts w:hint="eastAsia"/>
        </w:rPr>
        <w:t>「</w:t>
      </w:r>
      <w:r w:rsidR="00440FA5">
        <w:t>手話</w:t>
      </w:r>
      <w:r>
        <w:rPr>
          <w:rFonts w:hint="eastAsia"/>
        </w:rPr>
        <w:t>言語とろう</w:t>
      </w:r>
      <w:r w:rsidR="00440FA5">
        <w:t>文化を含む、特定の文化や文化的</w:t>
      </w:r>
      <w:r>
        <w:rPr>
          <w:rFonts w:hint="eastAsia"/>
        </w:rPr>
        <w:t>アイデンティティ」</w:t>
      </w:r>
      <w:r w:rsidR="00440FA5">
        <w:t>を認識し、</w:t>
      </w:r>
      <w:r>
        <w:rPr>
          <w:rFonts w:hint="eastAsia"/>
        </w:rPr>
        <w:t>支援</w:t>
      </w:r>
      <w:r w:rsidR="00440FA5">
        <w:t>することを</w:t>
      </w:r>
      <w:r>
        <w:rPr>
          <w:rFonts w:hint="eastAsia"/>
        </w:rPr>
        <w:t>締約国</w:t>
      </w:r>
      <w:r w:rsidR="00440FA5">
        <w:t>に要求して</w:t>
      </w:r>
      <w:r w:rsidR="00D015D9">
        <w:t>いる</w:t>
      </w:r>
      <w:r w:rsidR="007A4632">
        <w:rPr>
          <w:rStyle w:val="ac"/>
        </w:rPr>
        <w:footnoteReference w:id="100"/>
      </w:r>
      <w:r w:rsidR="00440FA5">
        <w:t>。</w:t>
      </w:r>
      <w:r>
        <w:rPr>
          <w:rFonts w:hint="eastAsia"/>
        </w:rPr>
        <w:t>ろう者、盲人および盲ろう者</w:t>
      </w:r>
      <w:r w:rsidR="00440FA5">
        <w:t>が特に言及されている</w:t>
      </w:r>
      <w:r>
        <w:rPr>
          <w:rFonts w:hint="eastAsia"/>
        </w:rPr>
        <w:t>その他の文脈は、教育の権利である。CRPD</w:t>
      </w:r>
      <w:r w:rsidR="00440FA5">
        <w:t>第24条は、これらの</w:t>
      </w:r>
      <w:r>
        <w:rPr>
          <w:rFonts w:hint="eastAsia"/>
        </w:rPr>
        <w:t>機能</w:t>
      </w:r>
      <w:r w:rsidR="00440FA5">
        <w:t>障害グループに属する人には、点字や手話など、</w:t>
      </w:r>
      <w:r>
        <w:rPr>
          <w:rFonts w:hint="eastAsia"/>
        </w:rPr>
        <w:t>そのアイデンティティに</w:t>
      </w:r>
      <w:r w:rsidR="00440FA5">
        <w:t>ふさ</w:t>
      </w:r>
      <w:r w:rsidR="00440FA5">
        <w:rPr>
          <w:rFonts w:hint="eastAsia"/>
        </w:rPr>
        <w:t>わしい教育のツールを提供すること</w:t>
      </w:r>
      <w:r w:rsidR="007A4632">
        <w:rPr>
          <w:rStyle w:val="ac"/>
        </w:rPr>
        <w:footnoteReference w:id="101"/>
      </w:r>
      <w:r w:rsidR="00440FA5">
        <w:rPr>
          <w:rFonts w:hint="eastAsia"/>
        </w:rPr>
        <w:t>、</w:t>
      </w:r>
      <w:r w:rsidR="00440FA5">
        <w:t>役割モデルと資格のある教師</w:t>
      </w:r>
      <w:r>
        <w:rPr>
          <w:rFonts w:hint="eastAsia"/>
        </w:rPr>
        <w:t>を提供すること、を要求している。そして、</w:t>
      </w:r>
      <w:r w:rsidR="00440FA5">
        <w:t>最も論争のある</w:t>
      </w:r>
      <w:r>
        <w:rPr>
          <w:rFonts w:hint="eastAsia"/>
        </w:rPr>
        <w:t>次の</w:t>
      </w:r>
      <w:r w:rsidR="00440FA5">
        <w:t>パラグラフ</w:t>
      </w:r>
      <w:r>
        <w:rPr>
          <w:rFonts w:hint="eastAsia"/>
        </w:rPr>
        <w:t>がある。</w:t>
      </w:r>
    </w:p>
    <w:p w:rsidR="00440FA5" w:rsidRDefault="00440FA5" w:rsidP="00F463C9">
      <w:pPr>
        <w:ind w:leftChars="270" w:left="567"/>
      </w:pPr>
      <w:r>
        <w:rPr>
          <w:rFonts w:hint="eastAsia"/>
        </w:rPr>
        <w:t>（</w:t>
      </w:r>
      <w:r>
        <w:t>1）…締約国は、あらゆる</w:t>
      </w:r>
      <w:r w:rsidR="00314884">
        <w:rPr>
          <w:rFonts w:hint="eastAsia"/>
        </w:rPr>
        <w:t>段階の教育と</w:t>
      </w:r>
      <w:r w:rsidR="00314884">
        <w:t>生涯学習</w:t>
      </w:r>
      <w:r w:rsidR="00314884">
        <w:rPr>
          <w:rFonts w:hint="eastAsia"/>
        </w:rPr>
        <w:t>におけるインクルーシブ</w:t>
      </w:r>
      <w:r>
        <w:t>な教育システム</w:t>
      </w:r>
      <w:r w:rsidR="00314884">
        <w:rPr>
          <w:rFonts w:hint="eastAsia"/>
        </w:rPr>
        <w:t>の目的を</w:t>
      </w:r>
      <w:r w:rsidR="00314884">
        <w:t>次のこと</w:t>
      </w:r>
      <w:r w:rsidR="00314884">
        <w:rPr>
          <w:rFonts w:hint="eastAsia"/>
        </w:rPr>
        <w:t>とする。</w:t>
      </w:r>
      <w:r>
        <w:t>…</w:t>
      </w:r>
    </w:p>
    <w:p w:rsidR="00440FA5" w:rsidRDefault="00440FA5" w:rsidP="00F463C9">
      <w:pPr>
        <w:ind w:leftChars="270" w:left="567"/>
      </w:pPr>
      <w:r>
        <w:rPr>
          <w:rFonts w:hint="eastAsia"/>
        </w:rPr>
        <w:t>（</w:t>
      </w:r>
      <w:r>
        <w:t>c）</w:t>
      </w:r>
      <w:r w:rsidR="005C439D">
        <w:rPr>
          <w:rFonts w:hint="eastAsia"/>
        </w:rPr>
        <w:t xml:space="preserve">　</w:t>
      </w:r>
      <w:r w:rsidR="005C439D" w:rsidRPr="005C439D">
        <w:rPr>
          <w:rFonts w:hint="eastAsia"/>
        </w:rPr>
        <w:t>盲人、ろう者又は盲ろう者（特に盲人、ろう者又は</w:t>
      </w:r>
      <w:r w:rsidR="005C439D">
        <w:rPr>
          <w:rFonts w:hint="eastAsia"/>
        </w:rPr>
        <w:t>盲</w:t>
      </w:r>
      <w:r w:rsidR="005C439D" w:rsidRPr="005C439D">
        <w:rPr>
          <w:rFonts w:hint="eastAsia"/>
        </w:rPr>
        <w:t>ろう者である児童）の教育が、その個人にとって最も適当な言語並びに意思疎通の形態及び手段で、かつ、学問的及び社会的な発達を最大にする環境において行われることを確保すること。</w:t>
      </w:r>
      <w:r>
        <w:t>…</w:t>
      </w:r>
    </w:p>
    <w:p w:rsidR="00440FA5" w:rsidRDefault="00440FA5" w:rsidP="00F463C9">
      <w:pPr>
        <w:ind w:firstLineChars="100" w:firstLine="210"/>
      </w:pPr>
      <w:r>
        <w:rPr>
          <w:rFonts w:hint="eastAsia"/>
        </w:rPr>
        <w:t>アドホック委員会でこの段落の文言をめぐって私たちが闘った長い夜をとてもよく覚えて</w:t>
      </w:r>
      <w:r w:rsidR="00D015D9">
        <w:rPr>
          <w:rFonts w:hint="eastAsia"/>
        </w:rPr>
        <w:t>いる</w:t>
      </w:r>
      <w:r>
        <w:rPr>
          <w:rFonts w:hint="eastAsia"/>
        </w:rPr>
        <w:t>。世界盲人連合、世界ろう連盟および世界</w:t>
      </w:r>
      <w:r w:rsidR="005C439D">
        <w:rPr>
          <w:rFonts w:hint="eastAsia"/>
        </w:rPr>
        <w:t>盲</w:t>
      </w:r>
      <w:r>
        <w:rPr>
          <w:rFonts w:hint="eastAsia"/>
        </w:rPr>
        <w:t>ろう</w:t>
      </w:r>
      <w:r w:rsidR="005C439D">
        <w:rPr>
          <w:rFonts w:hint="eastAsia"/>
        </w:rPr>
        <w:t>者</w:t>
      </w:r>
      <w:r>
        <w:rPr>
          <w:rFonts w:hint="eastAsia"/>
        </w:rPr>
        <w:t>連盟は、すべて優れた専門家</w:t>
      </w:r>
      <w:r w:rsidR="005C439D">
        <w:rPr>
          <w:rFonts w:hint="eastAsia"/>
        </w:rPr>
        <w:t>が</w:t>
      </w:r>
      <w:r>
        <w:rPr>
          <w:rFonts w:hint="eastAsia"/>
        </w:rPr>
        <w:t>代表</w:t>
      </w:r>
      <w:r w:rsidR="005C439D">
        <w:rPr>
          <w:rFonts w:hint="eastAsia"/>
        </w:rPr>
        <w:t>として参加していた。</w:t>
      </w:r>
      <w:r>
        <w:rPr>
          <w:rFonts w:hint="eastAsia"/>
        </w:rPr>
        <w:t>私たちは、特殊教育</w:t>
      </w:r>
      <w:r w:rsidR="005C439D">
        <w:rPr>
          <w:rFonts w:hint="eastAsia"/>
        </w:rPr>
        <w:t>の</w:t>
      </w:r>
      <w:r>
        <w:rPr>
          <w:rFonts w:hint="eastAsia"/>
        </w:rPr>
        <w:t>人権、あるいは少なくとも主流教育と特殊教育の間の選択の権利があるべきかどうかについて長い議論を重ねてき</w:t>
      </w:r>
      <w:r w:rsidR="00F463C9">
        <w:rPr>
          <w:rFonts w:hint="eastAsia"/>
        </w:rPr>
        <w:t>た</w:t>
      </w:r>
      <w:r>
        <w:rPr>
          <w:rFonts w:hint="eastAsia"/>
        </w:rPr>
        <w:t>。</w:t>
      </w:r>
      <w:r>
        <w:t>「分離は常に本質的に等しくない」と「主流の教育は多くの悪い教育を意味する同化</w:t>
      </w:r>
      <w:r w:rsidR="004618D9">
        <w:rPr>
          <w:rFonts w:hint="eastAsia"/>
        </w:rPr>
        <w:t>である</w:t>
      </w:r>
      <w:r>
        <w:t>」の間で意見</w:t>
      </w:r>
      <w:r w:rsidR="005C439D">
        <w:rPr>
          <w:rFonts w:hint="eastAsia"/>
        </w:rPr>
        <w:t>は行きつ戻りつした</w:t>
      </w:r>
      <w:r>
        <w:t>。これらの議論</w:t>
      </w:r>
      <w:r w:rsidR="004618D9">
        <w:rPr>
          <w:rFonts w:hint="eastAsia"/>
        </w:rPr>
        <w:t>に</w:t>
      </w:r>
      <w:r>
        <w:t>はアイデンティティの問題</w:t>
      </w:r>
      <w:r w:rsidR="004618D9">
        <w:rPr>
          <w:rFonts w:hint="eastAsia"/>
        </w:rPr>
        <w:t>が詰め込まれており、</w:t>
      </w:r>
      <w:r>
        <w:t>それのため</w:t>
      </w:r>
      <w:r w:rsidR="004618D9">
        <w:rPr>
          <w:rFonts w:hint="eastAsia"/>
        </w:rPr>
        <w:t>の</w:t>
      </w:r>
      <w:r>
        <w:t>場所を空ける重要</w:t>
      </w:r>
      <w:r w:rsidR="004618D9">
        <w:rPr>
          <w:rFonts w:hint="eastAsia"/>
        </w:rPr>
        <w:t>性</w:t>
      </w:r>
      <w:r>
        <w:rPr>
          <w:rFonts w:hint="eastAsia"/>
        </w:rPr>
        <w:t>を示した。</w:t>
      </w:r>
    </w:p>
    <w:p w:rsidR="00440FA5" w:rsidRDefault="00440FA5" w:rsidP="004618D9">
      <w:pPr>
        <w:ind w:firstLineChars="100" w:firstLine="210"/>
      </w:pPr>
      <w:r>
        <w:rPr>
          <w:rFonts w:hint="eastAsia"/>
        </w:rPr>
        <w:t>最後の文章は真の妥協であり、私の意見では傑作</w:t>
      </w:r>
      <w:r w:rsidR="00F463C9">
        <w:rPr>
          <w:rFonts w:hint="eastAsia"/>
        </w:rPr>
        <w:t>である</w:t>
      </w:r>
      <w:r>
        <w:rPr>
          <w:rFonts w:hint="eastAsia"/>
        </w:rPr>
        <w:t>。その称賛</w:t>
      </w:r>
      <w:r w:rsidR="004618D9">
        <w:rPr>
          <w:rFonts w:hint="eastAsia"/>
        </w:rPr>
        <w:t>は大部分</w:t>
      </w:r>
      <w:r>
        <w:rPr>
          <w:rFonts w:hint="eastAsia"/>
        </w:rPr>
        <w:t>、</w:t>
      </w:r>
      <w:r w:rsidR="004618D9">
        <w:rPr>
          <w:rFonts w:hint="eastAsia"/>
        </w:rPr>
        <w:t>教育の権利に関する条項の進行役を務めた、</w:t>
      </w:r>
      <w:r>
        <w:rPr>
          <w:rFonts w:hint="eastAsia"/>
        </w:rPr>
        <w:t>オーストラリアの著名な国際弁護士であり、障害者権利活動家であるローズマリー・カイス氏が</w:t>
      </w:r>
      <w:r w:rsidR="004618D9">
        <w:rPr>
          <w:rFonts w:hint="eastAsia"/>
        </w:rPr>
        <w:t>受ける資格を持つ。</w:t>
      </w:r>
    </w:p>
    <w:p w:rsidR="00440FA5" w:rsidRDefault="00440FA5" w:rsidP="00440FA5">
      <w:r>
        <w:t xml:space="preserve"> </w:t>
      </w:r>
    </w:p>
    <w:p w:rsidR="00440FA5" w:rsidRPr="0041601D" w:rsidRDefault="00440FA5" w:rsidP="00440FA5">
      <w:pPr>
        <w:rPr>
          <w:rFonts w:ascii="ＭＳ ゴシック" w:eastAsia="ＭＳ ゴシック" w:hAnsi="ＭＳ ゴシック"/>
          <w:i/>
          <w:iCs/>
        </w:rPr>
      </w:pPr>
      <w:r w:rsidRPr="003B6A79">
        <w:rPr>
          <w:rFonts w:ascii="ＭＳ ゴシック" w:eastAsia="ＭＳ ゴシック" w:hAnsi="ＭＳ ゴシック"/>
          <w:i/>
          <w:iCs/>
        </w:rPr>
        <w:t>5.人権モデルは予防政策の評価を可能にする</w:t>
      </w:r>
    </w:p>
    <w:p w:rsidR="00440FA5" w:rsidRDefault="00440FA5" w:rsidP="00440FA5"/>
    <w:p w:rsidR="00963C08" w:rsidRDefault="00440FA5" w:rsidP="003B6A79">
      <w:pPr>
        <w:ind w:firstLineChars="100" w:firstLine="210"/>
      </w:pPr>
      <w:r>
        <w:t>5番目の論点は、障害の社会モデルは予防政策に批判的であるが、</w:t>
      </w:r>
      <w:r w:rsidR="003B6A79">
        <w:t>障害者の人権保護</w:t>
      </w:r>
      <w:r w:rsidR="003B6A79">
        <w:rPr>
          <w:rFonts w:hint="eastAsia"/>
        </w:rPr>
        <w:t>といえる</w:t>
      </w:r>
      <w:r>
        <w:t>予防政策</w:t>
      </w:r>
      <w:r w:rsidR="003B6A79">
        <w:rPr>
          <w:rFonts w:hint="eastAsia"/>
        </w:rPr>
        <w:t>については</w:t>
      </w:r>
      <w:r>
        <w:t>、人権モデルは</w:t>
      </w:r>
      <w:r w:rsidR="00CF0704">
        <w:rPr>
          <w:rFonts w:hint="eastAsia"/>
        </w:rPr>
        <w:t>その</w:t>
      </w:r>
      <w:r>
        <w:t>評価の基礎を提供するということ</w:t>
      </w:r>
      <w:r w:rsidR="00F463C9">
        <w:t>である</w:t>
      </w:r>
      <w:r>
        <w:t>。</w:t>
      </w:r>
    </w:p>
    <w:p w:rsidR="00440FA5" w:rsidRDefault="00D015D9" w:rsidP="00F463C9">
      <w:pPr>
        <w:ind w:firstLineChars="100" w:firstLine="210"/>
      </w:pPr>
      <w:r>
        <w:rPr>
          <w:rFonts w:hint="eastAsia"/>
        </w:rPr>
        <w:t>機能障害</w:t>
      </w:r>
      <w:r w:rsidR="00440FA5">
        <w:rPr>
          <w:rFonts w:hint="eastAsia"/>
        </w:rPr>
        <w:t>の</w:t>
      </w:r>
      <w:r w:rsidR="003B6A79">
        <w:rPr>
          <w:rFonts w:hint="eastAsia"/>
        </w:rPr>
        <w:t>予防</w:t>
      </w:r>
      <w:r w:rsidR="00440FA5">
        <w:rPr>
          <w:rFonts w:hint="eastAsia"/>
        </w:rPr>
        <w:t>は公衆衛生政策の一要素で、障害者権利活動家から</w:t>
      </w:r>
      <w:r w:rsidR="003B6A79">
        <w:rPr>
          <w:rFonts w:hint="eastAsia"/>
        </w:rPr>
        <w:t>不名誉を与える</w:t>
      </w:r>
      <w:r w:rsidR="00440FA5">
        <w:rPr>
          <w:rFonts w:hint="eastAsia"/>
        </w:rPr>
        <w:t>または差別的であると長い間批判されてきた。</w:t>
      </w:r>
      <w:r w:rsidR="003B6A79">
        <w:rPr>
          <w:rFonts w:hint="eastAsia"/>
        </w:rPr>
        <w:t>批判の対象</w:t>
      </w:r>
      <w:r w:rsidR="00440FA5">
        <w:rPr>
          <w:rFonts w:hint="eastAsia"/>
        </w:rPr>
        <w:t>は、公衆衛生政策の実施</w:t>
      </w:r>
      <w:r w:rsidR="003B6A79">
        <w:rPr>
          <w:rFonts w:hint="eastAsia"/>
        </w:rPr>
        <w:t>方法</w:t>
      </w:r>
      <w:r w:rsidR="00440FA5">
        <w:rPr>
          <w:rFonts w:hint="eastAsia"/>
        </w:rPr>
        <w:t>または目標である。交通事故やポリオの防止は問題とはされ</w:t>
      </w:r>
      <w:r>
        <w:rPr>
          <w:rFonts w:hint="eastAsia"/>
        </w:rPr>
        <w:t>ない</w:t>
      </w:r>
      <w:r w:rsidR="00440FA5">
        <w:rPr>
          <w:rFonts w:hint="eastAsia"/>
        </w:rPr>
        <w:t>が、これらの方針が</w:t>
      </w:r>
      <w:r w:rsidR="003B6A79">
        <w:rPr>
          <w:rFonts w:hint="eastAsia"/>
        </w:rPr>
        <w:t>宣伝</w:t>
      </w:r>
      <w:r w:rsidR="00440FA5">
        <w:rPr>
          <w:rFonts w:hint="eastAsia"/>
        </w:rPr>
        <w:t>される方法は、障害者に不名誉を与える可能性が</w:t>
      </w:r>
      <w:r>
        <w:rPr>
          <w:rFonts w:hint="eastAsia"/>
        </w:rPr>
        <w:t>ある</w:t>
      </w:r>
      <w:r w:rsidR="00440FA5">
        <w:rPr>
          <w:rFonts w:hint="eastAsia"/>
        </w:rPr>
        <w:t>。たとえば、安全運転の広告に</w:t>
      </w:r>
      <w:r w:rsidR="00F53EFC">
        <w:rPr>
          <w:rFonts w:hint="eastAsia"/>
        </w:rPr>
        <w:t>「マヒしたままで残りの人生をすごすのは死よりも悪い」というタイトルで</w:t>
      </w:r>
      <w:r w:rsidR="00440FA5">
        <w:rPr>
          <w:rFonts w:hint="eastAsia"/>
        </w:rPr>
        <w:t>四肢</w:t>
      </w:r>
      <w:r w:rsidR="00F53EFC">
        <w:rPr>
          <w:rFonts w:hint="eastAsia"/>
        </w:rPr>
        <w:t>マヒ</w:t>
      </w:r>
      <w:r w:rsidR="00440FA5">
        <w:rPr>
          <w:rFonts w:hint="eastAsia"/>
        </w:rPr>
        <w:t>の人のポスターが付いてい</w:t>
      </w:r>
      <w:r w:rsidR="00F53EFC">
        <w:rPr>
          <w:rFonts w:hint="eastAsia"/>
        </w:rPr>
        <w:t>れば、</w:t>
      </w:r>
      <w:r w:rsidR="00440FA5">
        <w:rPr>
          <w:rFonts w:hint="eastAsia"/>
        </w:rPr>
        <w:t>障害者は</w:t>
      </w:r>
      <w:r w:rsidR="00F53EFC">
        <w:rPr>
          <w:rFonts w:hint="eastAsia"/>
        </w:rPr>
        <w:t>避けるべき存在と描かれ</w:t>
      </w:r>
      <w:r w:rsidR="00440FA5">
        <w:rPr>
          <w:rFonts w:hint="eastAsia"/>
        </w:rPr>
        <w:t>虐待され</w:t>
      </w:r>
      <w:r>
        <w:rPr>
          <w:rFonts w:hint="eastAsia"/>
        </w:rPr>
        <w:t>る</w:t>
      </w:r>
      <w:r w:rsidR="00440FA5">
        <w:rPr>
          <w:rFonts w:hint="eastAsia"/>
        </w:rPr>
        <w:t>。もう</w:t>
      </w:r>
      <w:r w:rsidR="00440FA5">
        <w:t>1つの例は、「経口ワクチン</w:t>
      </w:r>
      <w:r w:rsidR="00440FA5">
        <w:rPr>
          <w:rFonts w:hint="eastAsia"/>
        </w:rPr>
        <w:t>接種は甘い</w:t>
      </w:r>
      <w:r w:rsidR="00FE0F21">
        <w:rPr>
          <w:rFonts w:hint="eastAsia"/>
        </w:rPr>
        <w:t>が</w:t>
      </w:r>
      <w:r w:rsidR="00440FA5">
        <w:rPr>
          <w:rFonts w:hint="eastAsia"/>
        </w:rPr>
        <w:t>、ポリオは残酷だ</w:t>
      </w:r>
      <w:r w:rsidR="00FE0F21">
        <w:rPr>
          <w:rFonts w:hint="eastAsia"/>
        </w:rPr>
        <w:t>！</w:t>
      </w:r>
      <w:r w:rsidR="00440FA5">
        <w:rPr>
          <w:rFonts w:hint="eastAsia"/>
        </w:rPr>
        <w:t>」などのスローガンを利用したポリオ予防接種キャンペーン</w:t>
      </w:r>
      <w:r w:rsidR="00F463C9">
        <w:rPr>
          <w:rFonts w:hint="eastAsia"/>
        </w:rPr>
        <w:t>である</w:t>
      </w:r>
      <w:r w:rsidR="00440FA5">
        <w:rPr>
          <w:rFonts w:hint="eastAsia"/>
        </w:rPr>
        <w:t>。このような公衆衛生キャンペーンは、</w:t>
      </w:r>
      <w:r w:rsidR="00440FA5">
        <w:t>1970年代と1980年代</w:t>
      </w:r>
      <w:r w:rsidR="00FE0F21">
        <w:rPr>
          <w:rFonts w:hint="eastAsia"/>
        </w:rPr>
        <w:t>、</w:t>
      </w:r>
      <w:r w:rsidR="00440FA5">
        <w:t>いくつかの国で障害者権利運動の激しい抗議につなが</w:t>
      </w:r>
      <w:r w:rsidR="00FE0F21">
        <w:rPr>
          <w:rFonts w:hint="eastAsia"/>
        </w:rPr>
        <w:t>った</w:t>
      </w:r>
      <w:r w:rsidR="00440FA5">
        <w:t>。選択的中絶や自殺</w:t>
      </w:r>
      <w:r w:rsidR="00FE0F21">
        <w:rPr>
          <w:rFonts w:hint="eastAsia"/>
        </w:rPr>
        <w:t>支援</w:t>
      </w:r>
      <w:r w:rsidR="00440FA5">
        <w:t>などの生死問題に関係していれば、医</w:t>
      </w:r>
      <w:r w:rsidR="00FE0F21">
        <w:rPr>
          <w:rFonts w:hint="eastAsia"/>
        </w:rPr>
        <w:t>学的</w:t>
      </w:r>
      <w:r w:rsidR="00440FA5">
        <w:t>予防プログラムの目標</w:t>
      </w:r>
      <w:r w:rsidR="00FE0F21">
        <w:rPr>
          <w:rFonts w:hint="eastAsia"/>
        </w:rPr>
        <w:t>が</w:t>
      </w:r>
      <w:r w:rsidR="00440FA5">
        <w:t>抗議の対象になり得る。これらのプログラムで伝えられるメッセージは、障害のある</w:t>
      </w:r>
      <w:r w:rsidR="00CF0704">
        <w:rPr>
          <w:rFonts w:hint="eastAsia"/>
        </w:rPr>
        <w:t>人生</w:t>
      </w:r>
      <w:r w:rsidR="00440FA5">
        <w:t>は生きる価値がないということ</w:t>
      </w:r>
      <w:r w:rsidR="00F463C9">
        <w:t>である</w:t>
      </w:r>
      <w:r w:rsidR="00440FA5">
        <w:t>。</w:t>
      </w:r>
      <w:r>
        <w:t>機能障害</w:t>
      </w:r>
      <w:r w:rsidR="00440FA5">
        <w:t>防止政策</w:t>
      </w:r>
      <w:r w:rsidR="00FE0F21">
        <w:rPr>
          <w:rFonts w:hint="eastAsia"/>
        </w:rPr>
        <w:t>だと</w:t>
      </w:r>
      <w:r w:rsidR="00440FA5">
        <w:t>主張されているのは、実際には障害者の排除を目的とした政策である。</w:t>
      </w:r>
      <w:r w:rsidR="00FE0F21">
        <w:rPr>
          <w:rFonts w:hint="eastAsia"/>
        </w:rPr>
        <w:t>マイケル・オリバー</w:t>
      </w:r>
      <w:r w:rsidR="00440FA5">
        <w:t>は、これらのプログラムを障害のイデオロギー的構築の中核として特徴づけて</w:t>
      </w:r>
      <w:r w:rsidR="00FE0F21">
        <w:rPr>
          <w:rFonts w:hint="eastAsia"/>
        </w:rPr>
        <w:t>た</w:t>
      </w:r>
      <w:r w:rsidR="007A4632">
        <w:rPr>
          <w:rStyle w:val="ac"/>
        </w:rPr>
        <w:footnoteReference w:id="102"/>
      </w:r>
      <w:r w:rsidR="00440FA5">
        <w:t>。フェミニスト障害学者たちは、女性の生殖</w:t>
      </w:r>
      <w:r w:rsidR="00FE0F21">
        <w:rPr>
          <w:rFonts w:hint="eastAsia"/>
        </w:rPr>
        <w:t>の自律</w:t>
      </w:r>
      <w:r w:rsidR="00440FA5">
        <w:t>権と障害者の非差別</w:t>
      </w:r>
      <w:r w:rsidR="00FE0F21">
        <w:rPr>
          <w:rFonts w:hint="eastAsia"/>
        </w:rPr>
        <w:t>の権利</w:t>
      </w:r>
      <w:r w:rsidR="00440FA5">
        <w:t>との</w:t>
      </w:r>
      <w:r w:rsidR="00FE0F21">
        <w:rPr>
          <w:rFonts w:hint="eastAsia"/>
        </w:rPr>
        <w:t>衝突</w:t>
      </w:r>
      <w:r w:rsidR="00440FA5">
        <w:t>について広く書いている</w:t>
      </w:r>
      <w:r w:rsidR="007A4632">
        <w:rPr>
          <w:rStyle w:val="ac"/>
        </w:rPr>
        <w:footnoteReference w:id="103"/>
      </w:r>
      <w:r w:rsidR="00440FA5">
        <w:t>。 CRPDの交渉</w:t>
      </w:r>
      <w:r w:rsidR="00FE0F21">
        <w:rPr>
          <w:rFonts w:hint="eastAsia"/>
        </w:rPr>
        <w:t>過程でこのとりわけ困難なテーマが出現したが、</w:t>
      </w:r>
      <w:r w:rsidR="00440FA5">
        <w:t>時間的なプレッシャーと</w:t>
      </w:r>
      <w:r w:rsidR="003B31E9">
        <w:rPr>
          <w:rFonts w:hint="eastAsia"/>
        </w:rPr>
        <w:t>議場内の中絶合法化反対論者</w:t>
      </w:r>
      <w:r w:rsidR="007A4632">
        <w:rPr>
          <w:rStyle w:val="ac"/>
        </w:rPr>
        <w:footnoteReference w:id="104"/>
      </w:r>
      <w:r w:rsidR="00440FA5">
        <w:t>と多くのフェミニストと</w:t>
      </w:r>
      <w:r w:rsidR="003B31E9">
        <w:rPr>
          <w:rFonts w:hint="eastAsia"/>
        </w:rPr>
        <w:t>がこ</w:t>
      </w:r>
      <w:r w:rsidR="00440FA5">
        <w:t>の問題</w:t>
      </w:r>
      <w:r w:rsidR="003B31E9">
        <w:rPr>
          <w:rFonts w:hint="eastAsia"/>
        </w:rPr>
        <w:t>で</w:t>
      </w:r>
      <w:r w:rsidR="00440FA5">
        <w:t>妥協</w:t>
      </w:r>
      <w:r w:rsidR="003B31E9">
        <w:rPr>
          <w:rFonts w:hint="eastAsia"/>
        </w:rPr>
        <w:t>する</w:t>
      </w:r>
      <w:r w:rsidR="00440FA5">
        <w:t>見込みがな</w:t>
      </w:r>
      <w:r w:rsidR="003B31E9">
        <w:rPr>
          <w:rFonts w:hint="eastAsia"/>
        </w:rPr>
        <w:t>く、取り下げられた。</w:t>
      </w:r>
    </w:p>
    <w:p w:rsidR="00440FA5" w:rsidRDefault="00440FA5" w:rsidP="00F463C9">
      <w:pPr>
        <w:ind w:firstLineChars="100" w:firstLine="210"/>
      </w:pPr>
      <w:r>
        <w:t>1982年の国連障害者</w:t>
      </w:r>
      <w:r w:rsidR="00635E22">
        <w:rPr>
          <w:rFonts w:hint="eastAsia"/>
        </w:rPr>
        <w:t>に関する</w:t>
      </w:r>
      <w:r w:rsidR="00635E22">
        <w:t>世界</w:t>
      </w:r>
      <w:r>
        <w:t>行動計画（WPA）</w:t>
      </w:r>
      <w:r w:rsidR="007A4632">
        <w:rPr>
          <w:rStyle w:val="ac"/>
        </w:rPr>
        <w:footnoteReference w:id="105"/>
      </w:r>
      <w:r>
        <w:t>および1993年の国連障害者機会均等化</w:t>
      </w:r>
      <w:r w:rsidR="00003EB2">
        <w:rPr>
          <w:rFonts w:hint="eastAsia"/>
        </w:rPr>
        <w:t>基準</w:t>
      </w:r>
      <w:r>
        <w:t>規則（</w:t>
      </w:r>
      <w:proofErr w:type="spellStart"/>
      <w:r>
        <w:t>StRE</w:t>
      </w:r>
      <w:proofErr w:type="spellEnd"/>
      <w:r>
        <w:t>）とは異なり、CRPDは障害対策の</w:t>
      </w:r>
      <w:r w:rsidR="00003EB2">
        <w:rPr>
          <w:rFonts w:hint="eastAsia"/>
        </w:rPr>
        <w:t>事項</w:t>
      </w:r>
      <w:r>
        <w:t>として</w:t>
      </w:r>
      <w:r w:rsidR="00D015D9">
        <w:t>機能障害</w:t>
      </w:r>
      <w:r>
        <w:t>防止</w:t>
      </w:r>
      <w:r w:rsidR="00003EB2">
        <w:rPr>
          <w:rFonts w:hint="eastAsia"/>
        </w:rPr>
        <w:t>に</w:t>
      </w:r>
      <w:r>
        <w:t>言及していない。これら2つの宣言は、CRPDに先行する最も重要な人権文書</w:t>
      </w:r>
      <w:r w:rsidR="00F463C9">
        <w:t>である</w:t>
      </w:r>
      <w:r>
        <w:t>。</w:t>
      </w:r>
      <w:r w:rsidR="00003EB2">
        <w:rPr>
          <w:rFonts w:hint="eastAsia"/>
        </w:rPr>
        <w:t>これらが</w:t>
      </w:r>
      <w:r>
        <w:t>採択された時、伝統的な障害政策に人権の要素を追加した</w:t>
      </w:r>
      <w:r w:rsidR="00003EB2">
        <w:rPr>
          <w:rFonts w:hint="eastAsia"/>
        </w:rPr>
        <w:t>点で</w:t>
      </w:r>
      <w:r>
        <w:t>、最終的</w:t>
      </w:r>
      <w:r w:rsidR="00003EB2">
        <w:rPr>
          <w:rFonts w:hint="eastAsia"/>
        </w:rPr>
        <w:t>には</w:t>
      </w:r>
      <w:r w:rsidR="00003EB2">
        <w:t>障害者の人権の</w:t>
      </w:r>
      <w:r>
        <w:t>承認に</w:t>
      </w:r>
      <w:r w:rsidR="00003EB2">
        <w:rPr>
          <w:rFonts w:hint="eastAsia"/>
        </w:rPr>
        <w:t>至る流れの中での画期</w:t>
      </w:r>
      <w:r>
        <w:t>的な出来事</w:t>
      </w:r>
      <w:r w:rsidR="00003EB2">
        <w:rPr>
          <w:rFonts w:hint="eastAsia"/>
        </w:rPr>
        <w:t>となった。</w:t>
      </w:r>
      <w:r>
        <w:t>後者</w:t>
      </w:r>
      <w:r w:rsidR="00D87AA7">
        <w:rPr>
          <w:rFonts w:hint="eastAsia"/>
        </w:rPr>
        <w:t>（伝統的な政策）</w:t>
      </w:r>
      <w:r>
        <w:t>は、障害に対する3段階のアプローチ、</w:t>
      </w:r>
      <w:r w:rsidR="00D87AA7">
        <w:rPr>
          <w:rFonts w:hint="eastAsia"/>
        </w:rPr>
        <w:t>すなわち</w:t>
      </w:r>
      <w:r>
        <w:t>定義、予防、そしてリハビリテーションから成ってい</w:t>
      </w:r>
      <w:r w:rsidR="00F463C9">
        <w:t>た</w:t>
      </w:r>
      <w:r>
        <w:t>。WPAと</w:t>
      </w:r>
      <w:proofErr w:type="spellStart"/>
      <w:r>
        <w:t>StRE</w:t>
      </w:r>
      <w:proofErr w:type="spellEnd"/>
      <w:r>
        <w:t>は、障害者政策に4番目の要素、すなわち機会の</w:t>
      </w:r>
      <w:r w:rsidR="00D87AA7">
        <w:rPr>
          <w:rFonts w:hint="eastAsia"/>
        </w:rPr>
        <w:t>均等化</w:t>
      </w:r>
      <w:r>
        <w:t>を追加した。しかし、どちらの文書も障害対策の一要素として</w:t>
      </w:r>
      <w:r w:rsidR="00D015D9">
        <w:t>機能障害</w:t>
      </w:r>
      <w:r>
        <w:t>の防止</w:t>
      </w:r>
      <w:r w:rsidR="00D87AA7">
        <w:rPr>
          <w:rFonts w:hint="eastAsia"/>
        </w:rPr>
        <w:t>に</w:t>
      </w:r>
      <w:r>
        <w:t>言及しており、出生前ケアを重要な施策として含んで</w:t>
      </w:r>
      <w:r w:rsidR="00D015D9">
        <w:t>いる</w:t>
      </w:r>
      <w:r w:rsidR="007A4632">
        <w:rPr>
          <w:rStyle w:val="ac"/>
        </w:rPr>
        <w:footnoteReference w:id="106"/>
      </w:r>
      <w:r>
        <w:t>。特にWPAは、</w:t>
      </w:r>
      <w:r w:rsidR="00D87AA7">
        <w:rPr>
          <w:rFonts w:hint="eastAsia"/>
        </w:rPr>
        <w:t>生まれつつあった</w:t>
      </w:r>
      <w:r>
        <w:t>国際障害者権利運動</w:t>
      </w:r>
      <w:r w:rsidR="007A4632">
        <w:rPr>
          <w:rStyle w:val="ac"/>
        </w:rPr>
        <w:footnoteReference w:id="107"/>
      </w:r>
      <w:r>
        <w:t>によって影響され</w:t>
      </w:r>
      <w:r w:rsidR="00D87AA7">
        <w:rPr>
          <w:rFonts w:hint="eastAsia"/>
        </w:rPr>
        <w:t>た</w:t>
      </w:r>
      <w:r>
        <w:t>だけでなく、医療専門家によっても影響を受けて</w:t>
      </w:r>
      <w:r w:rsidR="00D015D9">
        <w:t>いる</w:t>
      </w:r>
      <w:r>
        <w:t>。これは、1981年11月12日の</w:t>
      </w:r>
      <w:r w:rsidR="00D87AA7">
        <w:t>障害防止</w:t>
      </w:r>
      <w:r w:rsidR="00D87AA7">
        <w:rPr>
          <w:rFonts w:hint="eastAsia"/>
        </w:rPr>
        <w:t>に関する</w:t>
      </w:r>
      <w:r>
        <w:t>リーズ城</w:t>
      </w:r>
      <w:r w:rsidR="00D87AA7">
        <w:t>宣言</w:t>
      </w:r>
      <w:r>
        <w:t>がWPA</w:t>
      </w:r>
      <w:r w:rsidR="00D87AA7">
        <w:rPr>
          <w:rFonts w:hint="eastAsia"/>
        </w:rPr>
        <w:t>に</w:t>
      </w:r>
      <w:r>
        <w:t>ほぼ完全に引用されているという事実によって明らかにされている</w:t>
      </w:r>
      <w:r w:rsidR="007A4632">
        <w:rPr>
          <w:rStyle w:val="ac"/>
        </w:rPr>
        <w:footnoteReference w:id="108"/>
      </w:r>
      <w:r>
        <w:t>。科学者、医師、健康管理者および政治家のグループによって書かれたこの宣言は</w:t>
      </w:r>
      <w:r w:rsidR="00D87AA7">
        <w:rPr>
          <w:rFonts w:hint="eastAsia"/>
        </w:rPr>
        <w:t>、</w:t>
      </w:r>
      <w:r w:rsidR="00F834AE">
        <w:rPr>
          <w:rFonts w:hint="eastAsia"/>
        </w:rPr>
        <w:t>生物医学的な研究を「すべての介入を大幅に強化する革命的新方法」</w:t>
      </w:r>
      <w:r w:rsidR="007A4632">
        <w:rPr>
          <w:rStyle w:val="ac"/>
        </w:rPr>
        <w:footnoteReference w:id="109"/>
      </w:r>
      <w:r w:rsidR="00F834AE">
        <w:rPr>
          <w:rFonts w:hint="eastAsia"/>
        </w:rPr>
        <w:t>と</w:t>
      </w:r>
      <w:r>
        <w:t>賞賛</w:t>
      </w:r>
      <w:r w:rsidR="00F834AE">
        <w:rPr>
          <w:rFonts w:hint="eastAsia"/>
        </w:rPr>
        <w:t>した。</w:t>
      </w:r>
      <w:r>
        <w:t>WPAには</w:t>
      </w:r>
      <w:r>
        <w:rPr>
          <w:rFonts w:hint="eastAsia"/>
        </w:rPr>
        <w:t>、予防プログラムの費用対効果に関するパラグラフも含まれて</w:t>
      </w:r>
      <w:r w:rsidR="00D015D9">
        <w:rPr>
          <w:rFonts w:hint="eastAsia"/>
        </w:rPr>
        <w:t>いる</w:t>
      </w:r>
      <w:r>
        <w:rPr>
          <w:rFonts w:hint="eastAsia"/>
        </w:rPr>
        <w:t>。</w:t>
      </w:r>
      <w:r w:rsidR="00F834AE">
        <w:rPr>
          <w:rFonts w:hint="eastAsia"/>
        </w:rPr>
        <w:t>「</w:t>
      </w:r>
      <w:r w:rsidR="00D015D9">
        <w:t>機能障害</w:t>
      </w:r>
      <w:r>
        <w:t>を防止するための、または</w:t>
      </w:r>
      <w:r w:rsidR="00D015D9">
        <w:t>機能障害</w:t>
      </w:r>
      <w:r>
        <w:t>が</w:t>
      </w:r>
      <w:r w:rsidR="00F834AE">
        <w:rPr>
          <w:rFonts w:hint="eastAsia"/>
        </w:rPr>
        <w:t>より制約の大きな障害に</w:t>
      </w:r>
      <w:r>
        <w:t>拡大しないことを確実にするためのプログラムは、長期的に見れば、</w:t>
      </w:r>
      <w:r w:rsidRPr="00F834AE">
        <w:rPr>
          <w:b/>
          <w:bCs/>
        </w:rPr>
        <w:t>後で障害者の世話を</w:t>
      </w:r>
      <w:r w:rsidR="00F834AE" w:rsidRPr="00F834AE">
        <w:rPr>
          <w:rFonts w:hint="eastAsia"/>
          <w:b/>
          <w:bCs/>
        </w:rPr>
        <w:t>しなければならないのと比べて</w:t>
      </w:r>
      <w:r w:rsidR="00F834AE">
        <w:rPr>
          <w:rFonts w:hint="eastAsia"/>
        </w:rPr>
        <w:t>、より</w:t>
      </w:r>
      <w:r>
        <w:t>社会に</w:t>
      </w:r>
      <w:r w:rsidR="00F834AE">
        <w:rPr>
          <w:rFonts w:hint="eastAsia"/>
        </w:rPr>
        <w:t>とって</w:t>
      </w:r>
      <w:r>
        <w:t>負担が少ない</w:t>
      </w:r>
      <w:r w:rsidR="00F834AE">
        <w:rPr>
          <w:rFonts w:hint="eastAsia"/>
        </w:rPr>
        <w:t>と、ますます理解されるようになっている」</w:t>
      </w:r>
      <w:r w:rsidR="00356109">
        <w:rPr>
          <w:rStyle w:val="ac"/>
          <w:b/>
          <w:bCs/>
        </w:rPr>
        <w:footnoteReference w:id="110"/>
      </w:r>
      <w:r>
        <w:t>。</w:t>
      </w:r>
    </w:p>
    <w:p w:rsidR="00440FA5" w:rsidRDefault="00440FA5" w:rsidP="00F463C9">
      <w:pPr>
        <w:ind w:firstLineChars="100" w:firstLine="210"/>
      </w:pPr>
      <w:r w:rsidRPr="003B3846">
        <w:t>WPAは障害の医学モデルを永続さ</w:t>
      </w:r>
      <w:r>
        <w:t>せる</w:t>
      </w:r>
      <w:r w:rsidR="006223C3">
        <w:rPr>
          <w:rFonts w:hint="eastAsia"/>
        </w:rPr>
        <w:t>と</w:t>
      </w:r>
      <w:r>
        <w:t>批判されてきた</w:t>
      </w:r>
      <w:r w:rsidR="00356109">
        <w:rPr>
          <w:rStyle w:val="ac"/>
        </w:rPr>
        <w:footnoteReference w:id="111"/>
      </w:r>
      <w:r>
        <w:t>。WPAと</w:t>
      </w:r>
      <w:proofErr w:type="spellStart"/>
      <w:r>
        <w:t>StRE</w:t>
      </w:r>
      <w:proofErr w:type="spellEnd"/>
      <w:r>
        <w:t>はどちらもCRPDの前文で言及されているが</w:t>
      </w:r>
      <w:r w:rsidR="00356109">
        <w:rPr>
          <w:rStyle w:val="ac"/>
        </w:rPr>
        <w:footnoteReference w:id="112"/>
      </w:r>
      <w:r>
        <w:t>、予防は条約の本文では目立って現れていない。これは交渉中および交渉前の慎重な決断であった</w:t>
      </w:r>
      <w:r w:rsidR="00356109">
        <w:rPr>
          <w:rStyle w:val="ac"/>
        </w:rPr>
        <w:footnoteReference w:id="113"/>
      </w:r>
      <w:r>
        <w:t>。CRPDの目的は、障害のある人の権利を促進し保護することである。同じ道具で障害の予防に対処することは一貫性がないと主張された。</w:t>
      </w:r>
      <w:r w:rsidR="003B3846">
        <w:rPr>
          <w:rFonts w:hint="eastAsia"/>
        </w:rPr>
        <w:t>こうして、</w:t>
      </w:r>
      <w:r w:rsidR="00D015D9">
        <w:t>機能障害</w:t>
      </w:r>
      <w:r>
        <w:t>の一次予防が</w:t>
      </w:r>
      <w:r w:rsidR="003B3846">
        <w:t>ICESCRに</w:t>
      </w:r>
      <w:r w:rsidR="003B3846">
        <w:rPr>
          <w:rFonts w:hint="eastAsia"/>
        </w:rPr>
        <w:t>うたわれている</w:t>
      </w:r>
      <w:r>
        <w:t>健康への権利の重要な側面である</w:t>
      </w:r>
      <w:r w:rsidR="003B3846">
        <w:rPr>
          <w:rFonts w:hint="eastAsia"/>
        </w:rPr>
        <w:t>にしても</w:t>
      </w:r>
      <w:r w:rsidR="00356109">
        <w:rPr>
          <w:rStyle w:val="ac"/>
        </w:rPr>
        <w:footnoteReference w:id="114"/>
      </w:r>
      <w:r w:rsidR="003B3846">
        <w:rPr>
          <w:rFonts w:hint="eastAsia"/>
        </w:rPr>
        <w:t>、</w:t>
      </w:r>
      <w:r>
        <w:t>障</w:t>
      </w:r>
      <w:r>
        <w:rPr>
          <w:rFonts w:hint="eastAsia"/>
        </w:rPr>
        <w:t>害</w:t>
      </w:r>
      <w:r w:rsidR="00AD7EEA">
        <w:rPr>
          <w:rFonts w:hint="eastAsia"/>
        </w:rPr>
        <w:t>とともに暮らしている人の人権を守る方法としては明らかに適切ではないことが、</w:t>
      </w:r>
      <w:r w:rsidR="00AD7EEA">
        <w:t>CRPDの</w:t>
      </w:r>
      <w:r w:rsidR="00AD7EEA">
        <w:rPr>
          <w:rFonts w:hint="eastAsia"/>
        </w:rPr>
        <w:t>採択</w:t>
      </w:r>
      <w:r w:rsidR="00AD7EEA">
        <w:t>により</w:t>
      </w:r>
      <w:r w:rsidR="00AD7EEA">
        <w:rPr>
          <w:rFonts w:hint="eastAsia"/>
        </w:rPr>
        <w:t>明確になった。これは、</w:t>
      </w:r>
      <w:r>
        <w:rPr>
          <w:rFonts w:hint="eastAsia"/>
        </w:rPr>
        <w:t>障害者に多額の費用を</w:t>
      </w:r>
      <w:r w:rsidR="00AD7EEA">
        <w:rPr>
          <w:rFonts w:hint="eastAsia"/>
        </w:rPr>
        <w:t>支出していると主張し、</w:t>
      </w:r>
      <w:r>
        <w:rPr>
          <w:rFonts w:hint="eastAsia"/>
        </w:rPr>
        <w:t>その後、予算の大部分が</w:t>
      </w:r>
      <w:r w:rsidR="00D015D9">
        <w:rPr>
          <w:rFonts w:hint="eastAsia"/>
        </w:rPr>
        <w:t>機能障害</w:t>
      </w:r>
      <w:r>
        <w:rPr>
          <w:rFonts w:hint="eastAsia"/>
        </w:rPr>
        <w:t>防止政策に費やされていることを示す報告書を提出する加盟国に</w:t>
      </w:r>
      <w:r w:rsidR="00AD7EEA">
        <w:rPr>
          <w:rFonts w:hint="eastAsia"/>
        </w:rPr>
        <w:t>対する</w:t>
      </w:r>
      <w:r>
        <w:rPr>
          <w:rFonts w:hint="eastAsia"/>
        </w:rPr>
        <w:t>重要なメッセージ</w:t>
      </w:r>
      <w:r w:rsidR="00F463C9">
        <w:rPr>
          <w:rFonts w:hint="eastAsia"/>
        </w:rPr>
        <w:t>である</w:t>
      </w:r>
      <w:r>
        <w:rPr>
          <w:rFonts w:hint="eastAsia"/>
        </w:rPr>
        <w:t>。</w:t>
      </w:r>
    </w:p>
    <w:p w:rsidR="00440FA5" w:rsidRDefault="00440FA5" w:rsidP="00F463C9">
      <w:pPr>
        <w:ind w:firstLineChars="100" w:firstLine="210"/>
      </w:pPr>
      <w:r>
        <w:rPr>
          <w:rFonts w:hint="eastAsia"/>
        </w:rPr>
        <w:t>しかし、トム・シェイクスピアが指摘したように</w:t>
      </w:r>
      <w:r w:rsidR="00356109">
        <w:rPr>
          <w:rStyle w:val="ac"/>
        </w:rPr>
        <w:footnoteReference w:id="115"/>
      </w:r>
      <w:r>
        <w:rPr>
          <w:rFonts w:hint="eastAsia"/>
        </w:rPr>
        <w:t>、すべての障害予防政策が悪いわけではなく、ほとんどの障害者は実際にこの種の公衆衛生政策を必要として</w:t>
      </w:r>
      <w:r w:rsidR="00D015D9">
        <w:rPr>
          <w:rFonts w:hint="eastAsia"/>
        </w:rPr>
        <w:t>いる</w:t>
      </w:r>
      <w:r>
        <w:rPr>
          <w:rFonts w:hint="eastAsia"/>
        </w:rPr>
        <w:t>。事実、</w:t>
      </w:r>
      <w:r>
        <w:t>2011年</w:t>
      </w:r>
      <w:r w:rsidR="00AD7EEA">
        <w:rPr>
          <w:rFonts w:hint="eastAsia"/>
        </w:rPr>
        <w:t>の</w:t>
      </w:r>
      <w:r>
        <w:t>WHO世界障害報告書には、アクセスできない医療サービス、二次的症状の発症リスク、暴力にさらされるリスクの増加、</w:t>
      </w:r>
      <w:r w:rsidR="00A831EF">
        <w:rPr>
          <w:rFonts w:hint="eastAsia"/>
        </w:rPr>
        <w:t>健康によくない生活</w:t>
      </w:r>
      <w:r w:rsidR="00CF0704">
        <w:rPr>
          <w:rFonts w:hint="eastAsia"/>
        </w:rPr>
        <w:t>行為</w:t>
      </w:r>
      <w:r w:rsidR="00A831EF">
        <w:rPr>
          <w:rFonts w:hint="eastAsia"/>
        </w:rPr>
        <w:t>の</w:t>
      </w:r>
      <w:r>
        <w:t>増加などのさまざまな要因によ</w:t>
      </w:r>
      <w:r w:rsidR="00AD7EEA">
        <w:rPr>
          <w:rFonts w:hint="eastAsia"/>
        </w:rPr>
        <w:t>る</w:t>
      </w:r>
      <w:r>
        <w:t>、障害者の</w:t>
      </w:r>
      <w:r w:rsidR="00AD7EEA">
        <w:rPr>
          <w:rFonts w:hint="eastAsia"/>
        </w:rPr>
        <w:t>低い</w:t>
      </w:r>
      <w:r>
        <w:t>健康</w:t>
      </w:r>
      <w:r w:rsidR="00AD7EEA">
        <w:rPr>
          <w:rFonts w:hint="eastAsia"/>
        </w:rPr>
        <w:t>水準の</w:t>
      </w:r>
      <w:r>
        <w:t>証拠が示されて</w:t>
      </w:r>
      <w:r w:rsidR="00D015D9">
        <w:t>いる</w:t>
      </w:r>
      <w:r w:rsidR="00356109">
        <w:rPr>
          <w:rStyle w:val="ac"/>
        </w:rPr>
        <w:footnoteReference w:id="116"/>
      </w:r>
      <w:r w:rsidR="00AD7EEA">
        <w:rPr>
          <w:rFonts w:hint="eastAsia"/>
        </w:rPr>
        <w:t>。</w:t>
      </w:r>
      <w:r>
        <w:t>これは、</w:t>
      </w:r>
      <w:r w:rsidR="00A831EF">
        <w:t>CRPDにおいて</w:t>
      </w:r>
      <w:r w:rsidR="00A831EF">
        <w:rPr>
          <w:rFonts w:hint="eastAsia"/>
        </w:rPr>
        <w:t>も</w:t>
      </w:r>
      <w:r>
        <w:t>健康</w:t>
      </w:r>
      <w:r w:rsidR="00A831EF">
        <w:rPr>
          <w:rFonts w:hint="eastAsia"/>
        </w:rPr>
        <w:t>の</w:t>
      </w:r>
      <w:r>
        <w:t>権利の文脈</w:t>
      </w:r>
      <w:r w:rsidR="00A831EF">
        <w:rPr>
          <w:rFonts w:hint="eastAsia"/>
        </w:rPr>
        <w:t>で</w:t>
      </w:r>
      <w:r>
        <w:t>認識されている。</w:t>
      </w:r>
      <w:r w:rsidR="00A831EF">
        <w:rPr>
          <w:rFonts w:hint="eastAsia"/>
        </w:rPr>
        <w:t>そこでは</w:t>
      </w:r>
      <w:r>
        <w:t>予防は一次予防ではなく、「子</w:t>
      </w:r>
      <w:r w:rsidR="00A831EF">
        <w:rPr>
          <w:rFonts w:hint="eastAsia"/>
        </w:rPr>
        <w:t>ども</w:t>
      </w:r>
      <w:r>
        <w:t>や高齢者を含</w:t>
      </w:r>
      <w:r w:rsidR="00A831EF">
        <w:rPr>
          <w:rFonts w:hint="eastAsia"/>
        </w:rPr>
        <w:t>め</w:t>
      </w:r>
      <w:r>
        <w:t>さらなる障害を予防する</w:t>
      </w:r>
      <w:r w:rsidR="00A831EF">
        <w:rPr>
          <w:rFonts w:hint="eastAsia"/>
        </w:rPr>
        <w:t>」</w:t>
      </w:r>
      <w:r>
        <w:t>ための</w:t>
      </w:r>
      <w:r w:rsidR="00A831EF">
        <w:t>二</w:t>
      </w:r>
      <w:r w:rsidR="00A831EF">
        <w:rPr>
          <w:rFonts w:hint="eastAsia"/>
        </w:rPr>
        <w:t>次予防プログラムに関連して</w:t>
      </w:r>
      <w:r>
        <w:rPr>
          <w:rFonts w:hint="eastAsia"/>
        </w:rPr>
        <w:t>扱われて</w:t>
      </w:r>
      <w:r w:rsidR="00D015D9">
        <w:rPr>
          <w:rFonts w:hint="eastAsia"/>
        </w:rPr>
        <w:t>いる</w:t>
      </w:r>
      <w:r w:rsidR="00356109">
        <w:rPr>
          <w:rStyle w:val="ac"/>
        </w:rPr>
        <w:footnoteReference w:id="117"/>
      </w:r>
      <w:r w:rsidR="00A831EF">
        <w:rPr>
          <w:rFonts w:hint="eastAsia"/>
        </w:rPr>
        <w:t>。</w:t>
      </w:r>
      <w:r w:rsidR="00A831EF">
        <w:t>CRPD</w:t>
      </w:r>
      <w:r>
        <w:t>第25条は、</w:t>
      </w:r>
      <w:r w:rsidR="00A831EF">
        <w:t>障害者の健康の権利</w:t>
      </w:r>
      <w:r w:rsidR="00A831EF">
        <w:rPr>
          <w:rFonts w:hint="eastAsia"/>
        </w:rPr>
        <w:t>を</w:t>
      </w:r>
      <w:r>
        <w:t>人権の文脈に</w:t>
      </w:r>
      <w:r w:rsidR="00C90463">
        <w:rPr>
          <w:rFonts w:hint="eastAsia"/>
        </w:rPr>
        <w:t>位置づける</w:t>
      </w:r>
      <w:r>
        <w:t>一例</w:t>
      </w:r>
      <w:r w:rsidR="00F463C9">
        <w:t>である</w:t>
      </w:r>
      <w:r>
        <w:t>。それは一般的かつ専門的な</w:t>
      </w:r>
      <w:r w:rsidR="00C90463">
        <w:rPr>
          <w:rFonts w:hint="eastAsia"/>
        </w:rPr>
        <w:t>保健</w:t>
      </w:r>
      <w:r>
        <w:t>ケアサービスへの</w:t>
      </w:r>
      <w:r w:rsidR="00C90463">
        <w:t>障害者の</w:t>
      </w:r>
      <w:r>
        <w:t>平等なアクセスを要求</w:t>
      </w:r>
      <w:r w:rsidR="00D015D9">
        <w:t>する</w:t>
      </w:r>
      <w:r>
        <w:t>。サービスはコミュニティを基盤とし、自由の権利と障害者の尊厳に敏感でなければな</w:t>
      </w:r>
      <w:r w:rsidR="00C90463">
        <w:rPr>
          <w:rFonts w:hint="eastAsia"/>
        </w:rPr>
        <w:t>ら</w:t>
      </w:r>
      <w:r w:rsidR="00D015D9">
        <w:t>ない</w:t>
      </w:r>
      <w:r>
        <w:t>。</w:t>
      </w:r>
      <w:r w:rsidR="00C90463">
        <w:rPr>
          <w:rFonts w:hint="eastAsia"/>
        </w:rPr>
        <w:t>法令による差別や</w:t>
      </w:r>
      <w:r>
        <w:t>医療の拒否は、禁止および防止されなければな</w:t>
      </w:r>
      <w:r w:rsidR="00C90463">
        <w:rPr>
          <w:rFonts w:hint="eastAsia"/>
        </w:rPr>
        <w:t>ら</w:t>
      </w:r>
      <w:r w:rsidR="00D015D9">
        <w:t>ない</w:t>
      </w:r>
      <w:r>
        <w:t>。 WHO報告書</w:t>
      </w:r>
      <w:r w:rsidR="00C90463">
        <w:rPr>
          <w:rFonts w:hint="eastAsia"/>
        </w:rPr>
        <w:t>は</w:t>
      </w:r>
      <w:r>
        <w:t>強調している</w:t>
      </w:r>
      <w:r w:rsidR="00C90463">
        <w:rPr>
          <w:rFonts w:hint="eastAsia"/>
        </w:rPr>
        <w:t>。</w:t>
      </w:r>
    </w:p>
    <w:p w:rsidR="00440FA5" w:rsidRDefault="00440FA5" w:rsidP="00C90463">
      <w:pPr>
        <w:ind w:leftChars="405" w:left="850" w:firstLineChars="100" w:firstLine="210"/>
      </w:pPr>
      <w:r>
        <w:rPr>
          <w:rFonts w:hint="eastAsia"/>
        </w:rPr>
        <w:t>障害を人権問題として捉えることは、予防が</w:t>
      </w:r>
      <w:r w:rsidR="00C90463">
        <w:rPr>
          <w:rFonts w:hint="eastAsia"/>
        </w:rPr>
        <w:t>、例えば用語やイメージの利用において</w:t>
      </w:r>
      <w:r>
        <w:rPr>
          <w:rFonts w:hint="eastAsia"/>
        </w:rPr>
        <w:t>障害</w:t>
      </w:r>
      <w:r w:rsidR="00C90463">
        <w:rPr>
          <w:rFonts w:hint="eastAsia"/>
        </w:rPr>
        <w:t>のある人の</w:t>
      </w:r>
      <w:r>
        <w:rPr>
          <w:rFonts w:hint="eastAsia"/>
        </w:rPr>
        <w:t>権利</w:t>
      </w:r>
      <w:r w:rsidR="00C90463">
        <w:rPr>
          <w:rFonts w:hint="eastAsia"/>
        </w:rPr>
        <w:t>と</w:t>
      </w:r>
      <w:r>
        <w:rPr>
          <w:rFonts w:hint="eastAsia"/>
        </w:rPr>
        <w:t>尊厳を尊重する限り、健康状態の予防と</w:t>
      </w:r>
      <w:r w:rsidR="00C90463">
        <w:rPr>
          <w:rFonts w:hint="eastAsia"/>
        </w:rPr>
        <w:t>矛盾しない。</w:t>
      </w:r>
      <w:r>
        <w:t>…障害</w:t>
      </w:r>
      <w:r w:rsidR="00F93FCA">
        <w:rPr>
          <w:rFonts w:hint="eastAsia"/>
        </w:rPr>
        <w:t>の</w:t>
      </w:r>
      <w:r>
        <w:t>予防は、</w:t>
      </w:r>
      <w:r w:rsidR="00F93FCA">
        <w:rPr>
          <w:rFonts w:hint="eastAsia"/>
        </w:rPr>
        <w:t>基礎となる</w:t>
      </w:r>
      <w:r>
        <w:t>健康状態の予防と治療</w:t>
      </w:r>
      <w:r w:rsidR="00F93FCA">
        <w:rPr>
          <w:rFonts w:hint="eastAsia"/>
        </w:rPr>
        <w:t>とともに、妨げとなっている障壁</w:t>
      </w:r>
      <w:r>
        <w:t>の予防を含む多次元戦略と見なされるべきである</w:t>
      </w:r>
      <w:r w:rsidR="00356109">
        <w:rPr>
          <w:rStyle w:val="ac"/>
        </w:rPr>
        <w:footnoteReference w:id="118"/>
      </w:r>
      <w:r>
        <w:t>。</w:t>
      </w:r>
    </w:p>
    <w:p w:rsidR="00440FA5" w:rsidRDefault="00440FA5" w:rsidP="00440FA5">
      <w:r>
        <w:t xml:space="preserve"> </w:t>
      </w:r>
    </w:p>
    <w:p w:rsidR="00440FA5" w:rsidRPr="0041601D" w:rsidRDefault="00440FA5" w:rsidP="00440FA5">
      <w:pPr>
        <w:rPr>
          <w:rFonts w:ascii="ＭＳ ゴシック" w:eastAsia="ＭＳ ゴシック" w:hAnsi="ＭＳ ゴシック"/>
          <w:i/>
          <w:iCs/>
        </w:rPr>
      </w:pPr>
      <w:r w:rsidRPr="0041601D">
        <w:rPr>
          <w:rFonts w:ascii="ＭＳ ゴシック" w:eastAsia="ＭＳ ゴシック" w:hAnsi="ＭＳ ゴシック"/>
          <w:i/>
          <w:iCs/>
        </w:rPr>
        <w:t>6.人権モデルは社会正義</w:t>
      </w:r>
      <w:r w:rsidR="00F93FCA">
        <w:rPr>
          <w:rFonts w:ascii="ＭＳ ゴシック" w:eastAsia="ＭＳ ゴシック" w:hAnsi="ＭＳ ゴシック" w:hint="eastAsia"/>
          <w:i/>
          <w:iCs/>
        </w:rPr>
        <w:t>をめざ</w:t>
      </w:r>
      <w:r w:rsidR="00094365">
        <w:rPr>
          <w:rFonts w:ascii="ＭＳ ゴシック" w:eastAsia="ＭＳ ゴシック" w:hAnsi="ＭＳ ゴシック" w:hint="eastAsia"/>
          <w:i/>
          <w:iCs/>
        </w:rPr>
        <w:t>して努力する</w:t>
      </w:r>
    </w:p>
    <w:p w:rsidR="00440FA5" w:rsidRDefault="00440FA5" w:rsidP="00440FA5"/>
    <w:p w:rsidR="00440FA5" w:rsidRDefault="00440FA5" w:rsidP="00F463C9">
      <w:pPr>
        <w:ind w:firstLineChars="100" w:firstLine="210"/>
      </w:pPr>
      <w:r>
        <w:rPr>
          <w:rFonts w:hint="eastAsia"/>
        </w:rPr>
        <w:t>第</w:t>
      </w:r>
      <w:r w:rsidR="00F93FCA">
        <w:rPr>
          <w:rFonts w:hint="eastAsia"/>
        </w:rPr>
        <w:t>6</w:t>
      </w:r>
      <w:r>
        <w:rPr>
          <w:rFonts w:hint="eastAsia"/>
        </w:rPr>
        <w:t>の</w:t>
      </w:r>
      <w:r w:rsidR="00F93FCA">
        <w:rPr>
          <w:rFonts w:hint="eastAsia"/>
        </w:rPr>
        <w:t>論点</w:t>
      </w:r>
      <w:r>
        <w:rPr>
          <w:rFonts w:hint="eastAsia"/>
        </w:rPr>
        <w:t>として、私は</w:t>
      </w:r>
      <w:r w:rsidR="00F93FCA">
        <w:rPr>
          <w:rFonts w:hint="eastAsia"/>
        </w:rPr>
        <w:t>次のように考える</w:t>
      </w:r>
      <w:r w:rsidR="00094365">
        <w:rPr>
          <w:rFonts w:hint="eastAsia"/>
        </w:rPr>
        <w:t>：</w:t>
      </w:r>
      <w:r>
        <w:rPr>
          <w:rFonts w:hint="eastAsia"/>
        </w:rPr>
        <w:t>障害の社会モデルはなぜこの世界の</w:t>
      </w:r>
      <w:r>
        <w:t>10億人の障害者の</w:t>
      </w:r>
      <w:r w:rsidR="00094365">
        <w:rPr>
          <w:rFonts w:hint="eastAsia"/>
        </w:rPr>
        <w:t>3分の2</w:t>
      </w:r>
      <w:r>
        <w:t>が</w:t>
      </w:r>
      <w:r w:rsidR="00094365">
        <w:rPr>
          <w:rFonts w:hint="eastAsia"/>
        </w:rPr>
        <w:t>相対的</w:t>
      </w:r>
      <w:r>
        <w:t>貧困</w:t>
      </w:r>
      <w:r w:rsidR="00094365">
        <w:rPr>
          <w:rFonts w:hint="eastAsia"/>
        </w:rPr>
        <w:t>に置かれている</w:t>
      </w:r>
      <w:r>
        <w:t>のかを説明できる</w:t>
      </w:r>
      <w:r w:rsidR="00094365">
        <w:rPr>
          <w:rFonts w:hint="eastAsia"/>
        </w:rPr>
        <w:t>が</w:t>
      </w:r>
      <w:r>
        <w:t>、人権モデルは変化</w:t>
      </w:r>
      <w:r w:rsidR="00094365">
        <w:rPr>
          <w:rFonts w:hint="eastAsia"/>
        </w:rPr>
        <w:t>へ</w:t>
      </w:r>
      <w:r>
        <w:t>のロードマップ</w:t>
      </w:r>
      <w:r w:rsidR="00CF0704">
        <w:rPr>
          <w:rFonts w:hint="eastAsia"/>
        </w:rPr>
        <w:t>（行程表）</w:t>
      </w:r>
      <w:r>
        <w:t>を提供</w:t>
      </w:r>
      <w:r w:rsidR="00D015D9">
        <w:t>する</w:t>
      </w:r>
      <w:r>
        <w:t>。</w:t>
      </w:r>
    </w:p>
    <w:p w:rsidR="00440FA5" w:rsidRDefault="00440FA5" w:rsidP="00094365">
      <w:pPr>
        <w:ind w:firstLineChars="100" w:firstLine="210"/>
      </w:pPr>
      <w:r>
        <w:rPr>
          <w:rFonts w:hint="eastAsia"/>
        </w:rPr>
        <w:t>社会モデルの提唱者や批評家たちは、早い時期から貧困と障害の密接な関連を認めて</w:t>
      </w:r>
      <w:r w:rsidR="00CF0704">
        <w:rPr>
          <w:rFonts w:hint="eastAsia"/>
        </w:rPr>
        <w:t>きた</w:t>
      </w:r>
      <w:r w:rsidR="00356109">
        <w:rPr>
          <w:rStyle w:val="ac"/>
        </w:rPr>
        <w:footnoteReference w:id="119"/>
      </w:r>
      <w:r>
        <w:t>。実際、貧困と障害の相互関係性は、障害だけでなく</w:t>
      </w:r>
      <w:r w:rsidR="00094365">
        <w:rPr>
          <w:rFonts w:hint="eastAsia"/>
        </w:rPr>
        <w:t>機能</w:t>
      </w:r>
      <w:r>
        <w:t>障害も社会的</w:t>
      </w:r>
      <w:r w:rsidR="00094365">
        <w:rPr>
          <w:rFonts w:hint="eastAsia"/>
        </w:rPr>
        <w:t>に</w:t>
      </w:r>
      <w:r>
        <w:t>構成</w:t>
      </w:r>
      <w:r w:rsidR="00094365">
        <w:rPr>
          <w:rFonts w:hint="eastAsia"/>
        </w:rPr>
        <w:t>された</w:t>
      </w:r>
      <w:r>
        <w:t>要素であるという証拠として提唱されて</w:t>
      </w:r>
      <w:r w:rsidR="00D015D9">
        <w:t>いる</w:t>
      </w:r>
      <w:r w:rsidR="00356109">
        <w:rPr>
          <w:rStyle w:val="ac"/>
        </w:rPr>
        <w:footnoteReference w:id="120"/>
      </w:r>
      <w:r>
        <w:t>。</w:t>
      </w:r>
      <w:r w:rsidR="00094365">
        <w:rPr>
          <w:rFonts w:hint="eastAsia"/>
        </w:rPr>
        <w:t>いまや</w:t>
      </w:r>
      <w:r w:rsidR="00D015D9">
        <w:t>機能障害</w:t>
      </w:r>
      <w:r>
        <w:t>と貧困が相互に補強し合っている</w:t>
      </w:r>
      <w:r w:rsidR="00094365">
        <w:rPr>
          <w:rFonts w:hint="eastAsia"/>
        </w:rPr>
        <w:t>豊富な</w:t>
      </w:r>
      <w:r>
        <w:t>証拠</w:t>
      </w:r>
      <w:r w:rsidR="00094365">
        <w:rPr>
          <w:rFonts w:hint="eastAsia"/>
        </w:rPr>
        <w:t>がある</w:t>
      </w:r>
      <w:r w:rsidR="00356109">
        <w:rPr>
          <w:rStyle w:val="ac"/>
        </w:rPr>
        <w:footnoteReference w:id="121"/>
      </w:r>
      <w:r>
        <w:t>。</w:t>
      </w:r>
      <w:r w:rsidR="00D015D9">
        <w:rPr>
          <w:rFonts w:hint="eastAsia"/>
        </w:rPr>
        <w:t>機能障害</w:t>
      </w:r>
      <w:r>
        <w:rPr>
          <w:rFonts w:hint="eastAsia"/>
        </w:rPr>
        <w:t>は貧困のリスクを高め、貧困は</w:t>
      </w:r>
      <w:r w:rsidR="00D015D9">
        <w:rPr>
          <w:rFonts w:hint="eastAsia"/>
        </w:rPr>
        <w:t>機能障害</w:t>
      </w:r>
      <w:r>
        <w:rPr>
          <w:rFonts w:hint="eastAsia"/>
        </w:rPr>
        <w:t>のリスクを増大させる。資源の不足、教育の欠如、基本的なサービスへのアクセスの欠如は、なぜ</w:t>
      </w:r>
      <w:r w:rsidR="00965F55">
        <w:rPr>
          <w:rFonts w:hint="eastAsia"/>
        </w:rPr>
        <w:t>世界の</w:t>
      </w:r>
      <w:r>
        <w:rPr>
          <w:rFonts w:hint="eastAsia"/>
        </w:rPr>
        <w:t>障害者の</w:t>
      </w:r>
      <w:r w:rsidR="00965F55">
        <w:rPr>
          <w:rFonts w:hint="eastAsia"/>
        </w:rPr>
        <w:t>3分の2</w:t>
      </w:r>
      <w:r>
        <w:t>が途上国に住んでいるのかを理解しようとするときに考慮すべき要素の1つ</w:t>
      </w:r>
      <w:r w:rsidR="00F463C9">
        <w:t>である</w:t>
      </w:r>
      <w:r>
        <w:t>。社会モデルは、障害が開発問題であることを理解するのに役立</w:t>
      </w:r>
      <w:r w:rsidR="00965F55">
        <w:rPr>
          <w:rFonts w:hint="eastAsia"/>
        </w:rPr>
        <w:t>つ</w:t>
      </w:r>
      <w:r>
        <w:t>。社会モデルの支持者や障害</w:t>
      </w:r>
      <w:r w:rsidR="00965F55">
        <w:rPr>
          <w:rFonts w:hint="eastAsia"/>
        </w:rPr>
        <w:t>学研究</w:t>
      </w:r>
      <w:r>
        <w:t>者は、これらの問題に取り組むエンパワメント政策に大きな影響を及ぼしてきた</w:t>
      </w:r>
      <w:r w:rsidR="00356109">
        <w:rPr>
          <w:rStyle w:val="ac"/>
        </w:rPr>
        <w:footnoteReference w:id="122"/>
      </w:r>
      <w:r>
        <w:t>。国連、世界銀行および他の開発機関は、障害が開発問題であることを長い間認めて</w:t>
      </w:r>
      <w:r>
        <w:rPr>
          <w:rFonts w:hint="eastAsia"/>
        </w:rPr>
        <w:t>きた</w:t>
      </w:r>
      <w:r w:rsidR="00356109">
        <w:rPr>
          <w:rStyle w:val="ac"/>
        </w:rPr>
        <w:footnoteReference w:id="123"/>
      </w:r>
      <w:r>
        <w:rPr>
          <w:rFonts w:hint="eastAsia"/>
        </w:rPr>
        <w:t>。</w:t>
      </w:r>
      <w:r w:rsidR="00965F55">
        <w:rPr>
          <w:rFonts w:hint="eastAsia"/>
        </w:rPr>
        <w:t>しかし、</w:t>
      </w:r>
      <w:r>
        <w:rPr>
          <w:rFonts w:hint="eastAsia"/>
        </w:rPr>
        <w:t>開発政策</w:t>
      </w:r>
      <w:r w:rsidR="00965F55">
        <w:rPr>
          <w:rFonts w:hint="eastAsia"/>
        </w:rPr>
        <w:t>の主流には位置づけられなかった。</w:t>
      </w:r>
      <w:r>
        <w:rPr>
          <w:rFonts w:hint="eastAsia"/>
        </w:rPr>
        <w:t>したがって、障害は当初ミレニアム開発目標の</w:t>
      </w:r>
      <w:r w:rsidR="00965F55">
        <w:rPr>
          <w:rFonts w:hint="eastAsia"/>
        </w:rPr>
        <w:t>課題</w:t>
      </w:r>
      <w:r>
        <w:rPr>
          <w:rFonts w:hint="eastAsia"/>
        </w:rPr>
        <w:t>の</w:t>
      </w:r>
      <w:r>
        <w:t>1つとして認識されてい</w:t>
      </w:r>
      <w:r w:rsidR="00D015D9">
        <w:t>な</w:t>
      </w:r>
      <w:r w:rsidR="00965F55">
        <w:rPr>
          <w:rFonts w:hint="eastAsia"/>
        </w:rPr>
        <w:t>かった。</w:t>
      </w:r>
      <w:r>
        <w:t>CRPDの</w:t>
      </w:r>
      <w:r w:rsidR="00965F55">
        <w:rPr>
          <w:rFonts w:hint="eastAsia"/>
        </w:rPr>
        <w:t>採択</w:t>
      </w:r>
      <w:r>
        <w:t>後に初めて劇的に変化し、障害は国際協力政策の中心的課題とな</w:t>
      </w:r>
      <w:r w:rsidR="00965F55">
        <w:rPr>
          <w:rFonts w:hint="eastAsia"/>
        </w:rPr>
        <w:t>った。</w:t>
      </w:r>
    </w:p>
    <w:p w:rsidR="00440FA5" w:rsidRDefault="00440FA5" w:rsidP="00F463C9">
      <w:pPr>
        <w:ind w:firstLineChars="100" w:firstLine="210"/>
      </w:pPr>
      <w:r>
        <w:t>CRPDは開発に関する独立した条項を持つ最初の人権条約</w:t>
      </w:r>
      <w:r w:rsidR="00F463C9">
        <w:t>である</w:t>
      </w:r>
      <w:r>
        <w:t>。国際協力に関する</w:t>
      </w:r>
      <w:r w:rsidR="00965F55">
        <w:t>CRPD</w:t>
      </w:r>
      <w:r>
        <w:t>第32条は、交渉の始めから終わりまで物議を醸し</w:t>
      </w:r>
      <w:r w:rsidR="00965F55">
        <w:rPr>
          <w:rFonts w:hint="eastAsia"/>
        </w:rPr>
        <w:t>た</w:t>
      </w:r>
      <w:r>
        <w:t>主要な条項の一つであった</w:t>
      </w:r>
      <w:r w:rsidR="00356109">
        <w:rPr>
          <w:rStyle w:val="ac"/>
        </w:rPr>
        <w:footnoteReference w:id="124"/>
      </w:r>
      <w:r>
        <w:t>。</w:t>
      </w:r>
      <w:r w:rsidR="00917E72">
        <w:rPr>
          <w:rFonts w:hint="eastAsia"/>
        </w:rPr>
        <w:t>これは危険な状況</w:t>
      </w:r>
      <w:r>
        <w:t>と人道的緊急事態に関する</w:t>
      </w:r>
      <w:r w:rsidR="00917E72">
        <w:t>CRPD</w:t>
      </w:r>
      <w:r>
        <w:t>第11条と</w:t>
      </w:r>
      <w:r w:rsidR="00917E72">
        <w:rPr>
          <w:rFonts w:hint="eastAsia"/>
        </w:rPr>
        <w:t>とも</w:t>
      </w:r>
      <w:r>
        <w:t>に、国際人道支援と開発協力における障害者政策の確固たるロードマップを提供</w:t>
      </w:r>
      <w:r w:rsidR="00917E72">
        <w:rPr>
          <w:rFonts w:hint="eastAsia"/>
        </w:rPr>
        <w:t>している</w:t>
      </w:r>
      <w:r>
        <w:t>。</w:t>
      </w:r>
      <w:r w:rsidR="00917E72">
        <w:t>CRPD</w:t>
      </w:r>
      <w:r>
        <w:t>第32条は、国際協力が</w:t>
      </w:r>
      <w:r w:rsidR="00917E72">
        <w:rPr>
          <w:rFonts w:hint="eastAsia"/>
        </w:rPr>
        <w:t>インクルーシブ</w:t>
      </w:r>
      <w:r>
        <w:t>であり、障害者にとって利用可能であること、すべての開発計画において障害</w:t>
      </w:r>
      <w:r w:rsidR="00917E72">
        <w:rPr>
          <w:rFonts w:hint="eastAsia"/>
        </w:rPr>
        <w:t>を</w:t>
      </w:r>
      <w:r>
        <w:t>主流</w:t>
      </w:r>
      <w:r w:rsidR="00917E72">
        <w:rPr>
          <w:rFonts w:hint="eastAsia"/>
        </w:rPr>
        <w:t>に位置づけること、</w:t>
      </w:r>
      <w:r>
        <w:t>およびDPOがこれらの活動の監視に関与</w:t>
      </w:r>
      <w:r w:rsidR="00917E72">
        <w:rPr>
          <w:rFonts w:hint="eastAsia"/>
        </w:rPr>
        <w:t>す</w:t>
      </w:r>
      <w:r>
        <w:t>ることを要求している。</w:t>
      </w:r>
      <w:r w:rsidR="00917E72">
        <w:t>CRPD</w:t>
      </w:r>
      <w:r>
        <w:t>第11条は、国家が自然災害または人道的緊急事態の状況において障害者を保護するために適切な行動をとることを要求する。この</w:t>
      </w:r>
      <w:r w:rsidR="00917E72">
        <w:rPr>
          <w:rFonts w:hint="eastAsia"/>
        </w:rPr>
        <w:t>条項</w:t>
      </w:r>
      <w:r>
        <w:t>は、2004年のインド洋での津波の後に</w:t>
      </w:r>
      <w:r w:rsidR="00917E72">
        <w:rPr>
          <w:rFonts w:hint="eastAsia"/>
        </w:rPr>
        <w:t>導入</w:t>
      </w:r>
      <w:r>
        <w:t>されたもので、これにより数十万人の人々が死亡し、その中には救助から除外された多くの障害者が含まれて</w:t>
      </w:r>
      <w:r w:rsidR="00D015D9">
        <w:t>い</w:t>
      </w:r>
      <w:r w:rsidR="00917E72">
        <w:rPr>
          <w:rFonts w:hint="eastAsia"/>
        </w:rPr>
        <w:t>た</w:t>
      </w:r>
      <w:r>
        <w:t>。交渉の終わりまでに、</w:t>
      </w:r>
      <w:r w:rsidR="00917E72">
        <w:t>2006年7月</w:t>
      </w:r>
      <w:r w:rsidR="001E3488">
        <w:rPr>
          <w:rFonts w:hint="eastAsia"/>
        </w:rPr>
        <w:t>に</w:t>
      </w:r>
      <w:r>
        <w:t>レバノン戦争</w:t>
      </w:r>
      <w:r w:rsidR="00917E72">
        <w:rPr>
          <w:rFonts w:hint="eastAsia"/>
        </w:rPr>
        <w:t>が</w:t>
      </w:r>
      <w:r>
        <w:t>始まり、</w:t>
      </w:r>
      <w:r w:rsidR="00917E72">
        <w:rPr>
          <w:rFonts w:hint="eastAsia"/>
        </w:rPr>
        <w:t>この条項</w:t>
      </w:r>
      <w:r>
        <w:t>の</w:t>
      </w:r>
      <w:r w:rsidR="001E3488">
        <w:t>政治</w:t>
      </w:r>
      <w:r w:rsidR="001E3488">
        <w:rPr>
          <w:rFonts w:hint="eastAsia"/>
        </w:rPr>
        <w:t>的</w:t>
      </w:r>
      <w:r>
        <w:t>性質を</w:t>
      </w:r>
      <w:r w:rsidR="001E3488">
        <w:rPr>
          <w:rFonts w:hint="eastAsia"/>
        </w:rPr>
        <w:t>さらに強めた。</w:t>
      </w:r>
      <w:r>
        <w:t>この状況の下でこれらの</w:t>
      </w:r>
      <w:r w:rsidR="001E3488">
        <w:rPr>
          <w:rFonts w:hint="eastAsia"/>
        </w:rPr>
        <w:t>条項</w:t>
      </w:r>
      <w:r>
        <w:t>の文章</w:t>
      </w:r>
      <w:r w:rsidR="001E3488">
        <w:rPr>
          <w:rFonts w:hint="eastAsia"/>
        </w:rPr>
        <w:t>が</w:t>
      </w:r>
      <w:r>
        <w:t>合意に達</w:t>
      </w:r>
      <w:r w:rsidR="001E3488">
        <w:rPr>
          <w:rFonts w:hint="eastAsia"/>
        </w:rPr>
        <w:t>したの</w:t>
      </w:r>
      <w:r>
        <w:t>は驚くべきことであった</w:t>
      </w:r>
      <w:r w:rsidR="00356109">
        <w:rPr>
          <w:rStyle w:val="ac"/>
        </w:rPr>
        <w:footnoteReference w:id="125"/>
      </w:r>
      <w:r>
        <w:t>。これらの両</w:t>
      </w:r>
      <w:r w:rsidR="001E3488">
        <w:rPr>
          <w:rFonts w:hint="eastAsia"/>
        </w:rPr>
        <w:t>条項は</w:t>
      </w:r>
      <w:r>
        <w:rPr>
          <w:rFonts w:hint="eastAsia"/>
        </w:rPr>
        <w:t>、開発と人道主義政策に少なくとも</w:t>
      </w:r>
      <w:r>
        <w:t>3つの重要な側面をもたら</w:t>
      </w:r>
      <w:r w:rsidR="001E3488">
        <w:rPr>
          <w:rFonts w:hint="eastAsia"/>
        </w:rPr>
        <w:t>した</w:t>
      </w:r>
      <w:r>
        <w:t>。</w:t>
      </w:r>
      <w:r w:rsidR="001E3488">
        <w:rPr>
          <w:rFonts w:hint="eastAsia"/>
        </w:rPr>
        <w:t>（1）開発と人道援助への人権に基づくアプローチ、</w:t>
      </w:r>
      <w:r>
        <w:t>（2）国際協力の</w:t>
      </w:r>
      <w:r w:rsidR="001E3488">
        <w:rPr>
          <w:rFonts w:hint="eastAsia"/>
        </w:rPr>
        <w:t>主要テーマ</w:t>
      </w:r>
      <w:r>
        <w:t>としての障害の主流化、および（3）DPOの関与の重要性</w:t>
      </w:r>
      <w:r w:rsidR="001E3488">
        <w:rPr>
          <w:rFonts w:hint="eastAsia"/>
        </w:rPr>
        <w:t>、である</w:t>
      </w:r>
      <w:r>
        <w:t>。これらの側面は新しいものでは</w:t>
      </w:r>
      <w:r w:rsidR="00D015D9">
        <w:t>な</w:t>
      </w:r>
      <w:r w:rsidR="001E3488">
        <w:rPr>
          <w:rFonts w:hint="eastAsia"/>
        </w:rPr>
        <w:t>く、</w:t>
      </w:r>
      <w:r>
        <w:t>以前</w:t>
      </w:r>
      <w:r w:rsidR="001E3488">
        <w:rPr>
          <w:rFonts w:hint="eastAsia"/>
        </w:rPr>
        <w:t>から</w:t>
      </w:r>
      <w:r>
        <w:t>提起され</w:t>
      </w:r>
      <w:r w:rsidR="001E3488">
        <w:rPr>
          <w:rFonts w:hint="eastAsia"/>
        </w:rPr>
        <w:t>てきた。</w:t>
      </w:r>
      <w:r>
        <w:t>しかし、CRPD</w:t>
      </w:r>
      <w:r w:rsidR="001E3488">
        <w:rPr>
          <w:rFonts w:hint="eastAsia"/>
        </w:rPr>
        <w:t>によって、</w:t>
      </w:r>
      <w:r>
        <w:t>それらは拘束力のある国際法</w:t>
      </w:r>
      <w:r w:rsidR="001E3488">
        <w:rPr>
          <w:rFonts w:hint="eastAsia"/>
        </w:rPr>
        <w:t>となった。</w:t>
      </w:r>
    </w:p>
    <w:p w:rsidR="00440FA5" w:rsidRDefault="00440FA5" w:rsidP="00F463C9">
      <w:pPr>
        <w:ind w:firstLineChars="100" w:firstLine="210"/>
      </w:pPr>
      <w:r w:rsidRPr="00394A68">
        <w:rPr>
          <w:rFonts w:hint="eastAsia"/>
        </w:rPr>
        <w:t>開発における人権アプローチ</w:t>
      </w:r>
      <w:r>
        <w:rPr>
          <w:rFonts w:hint="eastAsia"/>
        </w:rPr>
        <w:t>は、貧困の中で暮らす人々は、福祉や慈善の対象ではなく、資源の配分やニーズの評価に意見がある権利保有者であることを意味</w:t>
      </w:r>
      <w:r w:rsidR="00D015D9">
        <w:rPr>
          <w:rFonts w:hint="eastAsia"/>
        </w:rPr>
        <w:t>する</w:t>
      </w:r>
      <w:r>
        <w:rPr>
          <w:rFonts w:hint="eastAsia"/>
        </w:rPr>
        <w:t>。参加は手段であり、目標と戦略は力を与える</w:t>
      </w:r>
      <w:r w:rsidR="00394A68">
        <w:rPr>
          <w:rFonts w:hint="eastAsia"/>
        </w:rPr>
        <w:t>もの（e</w:t>
      </w:r>
      <w:r w:rsidR="00394A68">
        <w:t>mpowering</w:t>
      </w:r>
      <w:r w:rsidR="00394A68">
        <w:rPr>
          <w:rFonts w:hint="eastAsia"/>
        </w:rPr>
        <w:t>）である</w:t>
      </w:r>
      <w:r>
        <w:rPr>
          <w:rFonts w:hint="eastAsia"/>
        </w:rPr>
        <w:t>必要が</w:t>
      </w:r>
      <w:r w:rsidR="00D015D9">
        <w:rPr>
          <w:rFonts w:hint="eastAsia"/>
        </w:rPr>
        <w:t>ある</w:t>
      </w:r>
      <w:r>
        <w:rPr>
          <w:rFonts w:hint="eastAsia"/>
        </w:rPr>
        <w:t>。開発プロジェクトは、</w:t>
      </w:r>
      <w:r w:rsidR="00394A68">
        <w:rPr>
          <w:rFonts w:hint="eastAsia"/>
        </w:rPr>
        <w:t>不利な</w:t>
      </w:r>
      <w:r>
        <w:rPr>
          <w:rFonts w:hint="eastAsia"/>
        </w:rPr>
        <w:t>人々、取り残された人々、排除された人々を対象とする必要が</w:t>
      </w:r>
      <w:r w:rsidR="00D015D9">
        <w:rPr>
          <w:rFonts w:hint="eastAsia"/>
        </w:rPr>
        <w:t>ある</w:t>
      </w:r>
      <w:r>
        <w:rPr>
          <w:rFonts w:hint="eastAsia"/>
        </w:rPr>
        <w:t>。これらは、</w:t>
      </w:r>
      <w:r>
        <w:t>2003年に採択された開発協力への人権に基づくアプローチの国連の共通理解の原則である</w:t>
      </w:r>
      <w:r w:rsidR="000E2526">
        <w:rPr>
          <w:rStyle w:val="ac"/>
        </w:rPr>
        <w:footnoteReference w:id="126"/>
      </w:r>
      <w:r>
        <w:t>。</w:t>
      </w:r>
      <w:r w:rsidR="00394A68">
        <w:t>新しい権利に基づく</w:t>
      </w:r>
      <w:r>
        <w:t>開発</w:t>
      </w:r>
      <w:r w:rsidR="00394A68">
        <w:rPr>
          <w:rFonts w:hint="eastAsia"/>
        </w:rPr>
        <w:t>への</w:t>
      </w:r>
      <w:r>
        <w:t>アプローチには欠点がないわけではないが</w:t>
      </w:r>
      <w:r w:rsidR="000E2526">
        <w:rPr>
          <w:rStyle w:val="ac"/>
        </w:rPr>
        <w:footnoteReference w:id="127"/>
      </w:r>
      <w:r>
        <w:t>、グローバリゼーション</w:t>
      </w:r>
      <w:r>
        <w:rPr>
          <w:rFonts w:hint="eastAsia"/>
        </w:rPr>
        <w:t>の時代に社会正義を達成する</w:t>
      </w:r>
      <w:r w:rsidR="00394A68">
        <w:rPr>
          <w:rFonts w:hint="eastAsia"/>
        </w:rPr>
        <w:t>方向への一歩である</w:t>
      </w:r>
      <w:r>
        <w:rPr>
          <w:rFonts w:hint="eastAsia"/>
        </w:rPr>
        <w:t>。障害</w:t>
      </w:r>
      <w:r w:rsidR="00394A68">
        <w:rPr>
          <w:rFonts w:hint="eastAsia"/>
        </w:rPr>
        <w:t>の</w:t>
      </w:r>
      <w:r>
        <w:rPr>
          <w:rFonts w:hint="eastAsia"/>
        </w:rPr>
        <w:t>主流化は、伝統的な障害政策によって実施され維持されている分離</w:t>
      </w:r>
      <w:r w:rsidR="00394A68">
        <w:rPr>
          <w:rFonts w:hint="eastAsia"/>
        </w:rPr>
        <w:t>の</w:t>
      </w:r>
      <w:r>
        <w:rPr>
          <w:rFonts w:hint="eastAsia"/>
        </w:rPr>
        <w:t>構造を克服するための重要な戦略</w:t>
      </w:r>
      <w:r w:rsidR="00F463C9">
        <w:rPr>
          <w:rFonts w:hint="eastAsia"/>
        </w:rPr>
        <w:t>である</w:t>
      </w:r>
      <w:r>
        <w:rPr>
          <w:rFonts w:hint="eastAsia"/>
        </w:rPr>
        <w:t>。障害者とその代表組織の積極的かつ平等な参加がなければ、開発戦略とプログラムは障害者に対する差別を永続させ、悪化させる</w:t>
      </w:r>
      <w:r w:rsidR="000E2526">
        <w:rPr>
          <w:rStyle w:val="ac"/>
        </w:rPr>
        <w:footnoteReference w:id="128"/>
      </w:r>
      <w:r>
        <w:rPr>
          <w:rFonts w:hint="eastAsia"/>
        </w:rPr>
        <w:t>。</w:t>
      </w:r>
      <w:r w:rsidR="00394A68">
        <w:rPr>
          <w:rFonts w:hint="eastAsia"/>
        </w:rPr>
        <w:t xml:space="preserve">　</w:t>
      </w:r>
    </w:p>
    <w:p w:rsidR="00440FA5" w:rsidRDefault="00440FA5" w:rsidP="00440FA5">
      <w:r>
        <w:t xml:space="preserve"> </w:t>
      </w:r>
    </w:p>
    <w:p w:rsidR="00440FA5" w:rsidRPr="0041601D" w:rsidRDefault="0041601D" w:rsidP="00440FA5">
      <w:pPr>
        <w:rPr>
          <w:rFonts w:ascii="ＭＳ ゴシック" w:eastAsia="ＭＳ ゴシック" w:hAnsi="ＭＳ ゴシック"/>
        </w:rPr>
      </w:pPr>
      <w:r w:rsidRPr="0041601D">
        <w:rPr>
          <w:rFonts w:ascii="ＭＳ ゴシック" w:eastAsia="ＭＳ ゴシック" w:hAnsi="ＭＳ ゴシック" w:hint="eastAsia"/>
        </w:rPr>
        <w:t>障害の</w:t>
      </w:r>
      <w:r w:rsidR="00440FA5" w:rsidRPr="0041601D">
        <w:rPr>
          <w:rFonts w:ascii="ＭＳ ゴシック" w:eastAsia="ＭＳ ゴシック" w:hAnsi="ＭＳ ゴシック" w:hint="eastAsia"/>
        </w:rPr>
        <w:t>社会モデルを人権モデルに発展させる</w:t>
      </w:r>
    </w:p>
    <w:p w:rsidR="00440FA5" w:rsidRDefault="00440FA5" w:rsidP="00440FA5"/>
    <w:p w:rsidR="00440FA5" w:rsidRDefault="00440FA5" w:rsidP="00F463C9">
      <w:pPr>
        <w:ind w:firstLineChars="100" w:firstLine="210"/>
      </w:pPr>
      <w:r w:rsidRPr="00440FA5">
        <w:rPr>
          <w:rFonts w:hint="eastAsia"/>
        </w:rPr>
        <w:t>私の意図は、障害の社会モデルを</w:t>
      </w:r>
      <w:r w:rsidR="00394A68">
        <w:rPr>
          <w:rFonts w:hint="eastAsia"/>
        </w:rPr>
        <w:t>捨てる</w:t>
      </w:r>
      <w:r w:rsidRPr="00440FA5">
        <w:rPr>
          <w:rFonts w:hint="eastAsia"/>
        </w:rPr>
        <w:t>ことではなく、それをさらに発展させること</w:t>
      </w:r>
      <w:r w:rsidR="00F463C9">
        <w:rPr>
          <w:rFonts w:hint="eastAsia"/>
        </w:rPr>
        <w:t>である</w:t>
      </w:r>
      <w:r w:rsidRPr="00440FA5">
        <w:rPr>
          <w:rFonts w:hint="eastAsia"/>
        </w:rPr>
        <w:t>。障害の社会モデルは</w:t>
      </w:r>
      <w:r w:rsidRPr="00440FA5">
        <w:t>CRPDの交渉の間に最も成功した</w:t>
      </w:r>
      <w:r w:rsidR="00766139">
        <w:rPr>
          <w:rFonts w:hint="eastAsia"/>
        </w:rPr>
        <w:t>言明</w:t>
      </w:r>
      <w:r w:rsidRPr="00440FA5">
        <w:t>で</w:t>
      </w:r>
      <w:r w:rsidR="00766139">
        <w:rPr>
          <w:rFonts w:hint="eastAsia"/>
        </w:rPr>
        <w:t>あった</w:t>
      </w:r>
      <w:r w:rsidRPr="00440FA5">
        <w:t>。CRPDの</w:t>
      </w:r>
      <w:r w:rsidR="00766139">
        <w:rPr>
          <w:rFonts w:hint="eastAsia"/>
        </w:rPr>
        <w:t>成功の物語</w:t>
      </w:r>
      <w:r w:rsidRPr="00440FA5">
        <w:t>を要約</w:t>
      </w:r>
      <w:r w:rsidR="00766139">
        <w:rPr>
          <w:rFonts w:hint="eastAsia"/>
        </w:rPr>
        <w:t>する</w:t>
      </w:r>
      <w:r w:rsidRPr="00440FA5">
        <w:t>1つのフレーズがあるとすれば、それは国際的障害政策における</w:t>
      </w:r>
      <w:r w:rsidR="00766139" w:rsidRPr="00440FA5">
        <w:t>障害の</w:t>
      </w:r>
      <w:r w:rsidR="00766139">
        <w:rPr>
          <w:rFonts w:hint="eastAsia"/>
        </w:rPr>
        <w:t>医学モデル</w:t>
      </w:r>
      <w:r w:rsidRPr="00440FA5">
        <w:t>から社会モデルへのパラダイムシフト</w:t>
      </w:r>
      <w:r w:rsidR="00F463C9">
        <w:t>である</w:t>
      </w:r>
      <w:r w:rsidRPr="00440FA5">
        <w:t>。交渉プロセス中にこの用語を使用した全員が障害</w:t>
      </w:r>
      <w:r w:rsidR="00766139">
        <w:rPr>
          <w:rFonts w:hint="eastAsia"/>
        </w:rPr>
        <w:t>学</w:t>
      </w:r>
      <w:r w:rsidRPr="00440FA5">
        <w:t>について精通してい</w:t>
      </w:r>
      <w:r w:rsidR="00CF0704">
        <w:rPr>
          <w:rFonts w:hint="eastAsia"/>
        </w:rPr>
        <w:t>た</w:t>
      </w:r>
      <w:r w:rsidRPr="00440FA5">
        <w:t>わけでは</w:t>
      </w:r>
      <w:r w:rsidR="00D015D9">
        <w:t>ない</w:t>
      </w:r>
      <w:r w:rsidRPr="00440FA5">
        <w:t>。</w:t>
      </w:r>
      <w:r w:rsidR="00766139" w:rsidRPr="00766139">
        <w:rPr>
          <w:rFonts w:hint="eastAsia"/>
        </w:rPr>
        <w:t>実際、</w:t>
      </w:r>
      <w:r w:rsidR="000E5092">
        <w:rPr>
          <w:rFonts w:hint="eastAsia"/>
        </w:rPr>
        <w:t>私は、</w:t>
      </w:r>
      <w:r w:rsidR="00766139" w:rsidRPr="00766139">
        <w:rPr>
          <w:rFonts w:hint="eastAsia"/>
        </w:rPr>
        <w:t>交渉中に社会モデルが持っていた大きな影響</w:t>
      </w:r>
      <w:r w:rsidR="000E5092">
        <w:rPr>
          <w:rFonts w:hint="eastAsia"/>
        </w:rPr>
        <w:t>に関する</w:t>
      </w:r>
      <w:r w:rsidR="000E5092" w:rsidRPr="00766139">
        <w:rPr>
          <w:rFonts w:hint="eastAsia"/>
        </w:rPr>
        <w:t>ローズマリー・ケイエスとフィリップ・フレンチ</w:t>
      </w:r>
      <w:r w:rsidR="000E5092">
        <w:rPr>
          <w:rFonts w:hint="eastAsia"/>
        </w:rPr>
        <w:t>の分析に</w:t>
      </w:r>
      <w:r w:rsidR="00766139" w:rsidRPr="00766139">
        <w:rPr>
          <w:rFonts w:hint="eastAsia"/>
        </w:rPr>
        <w:t>は</w:t>
      </w:r>
      <w:r w:rsidR="000E5092">
        <w:rPr>
          <w:rFonts w:hint="eastAsia"/>
        </w:rPr>
        <w:t>反対する。その分析では、</w:t>
      </w:r>
      <w:r w:rsidR="00CF0704">
        <w:rPr>
          <w:rFonts w:hint="eastAsia"/>
        </w:rPr>
        <w:t>その大きな</w:t>
      </w:r>
      <w:r w:rsidR="000E5092">
        <w:rPr>
          <w:rFonts w:hint="eastAsia"/>
        </w:rPr>
        <w:t>影響は「</w:t>
      </w:r>
      <w:r w:rsidR="00766139" w:rsidRPr="00766139">
        <w:rPr>
          <w:rFonts w:hint="eastAsia"/>
        </w:rPr>
        <w:t>障害者の権利の</w:t>
      </w:r>
      <w:r w:rsidR="000E5092">
        <w:rPr>
          <w:rFonts w:hint="eastAsia"/>
        </w:rPr>
        <w:t>宣言として</w:t>
      </w:r>
      <w:r w:rsidR="00766139" w:rsidRPr="00766139">
        <w:rPr>
          <w:rFonts w:hint="eastAsia"/>
        </w:rPr>
        <w:t>の社会モデルの大衆的概念化と、その急進的な社会構成主義的見方への傾向</w:t>
      </w:r>
      <w:r w:rsidR="000E5092">
        <w:rPr>
          <w:rFonts w:hint="eastAsia"/>
        </w:rPr>
        <w:t>によるものであって、</w:t>
      </w:r>
      <w:r w:rsidR="00766139" w:rsidRPr="00766139">
        <w:t>障害の批判的理論としての</w:t>
      </w:r>
      <w:r w:rsidR="000E5092">
        <w:rPr>
          <w:rFonts w:hint="eastAsia"/>
        </w:rPr>
        <w:t>社会モデルの</w:t>
      </w:r>
      <w:r w:rsidR="00766139" w:rsidRPr="00766139">
        <w:t>現代表現</w:t>
      </w:r>
      <w:r w:rsidR="000E5092">
        <w:rPr>
          <w:rFonts w:hint="eastAsia"/>
        </w:rPr>
        <w:t>によるものではない」とする</w:t>
      </w:r>
      <w:r w:rsidR="000E2526">
        <w:rPr>
          <w:rStyle w:val="ac"/>
        </w:rPr>
        <w:footnoteReference w:id="129"/>
      </w:r>
      <w:r w:rsidR="000E5092">
        <w:rPr>
          <w:rFonts w:hint="eastAsia"/>
        </w:rPr>
        <w:t>。</w:t>
      </w:r>
      <w:r w:rsidRPr="00440FA5">
        <w:rPr>
          <w:rFonts w:hint="eastAsia"/>
        </w:rPr>
        <w:t>しかし、国際的人権規範の起草は常に非常に政治的な</w:t>
      </w:r>
      <w:r w:rsidR="000E5092">
        <w:rPr>
          <w:rFonts w:hint="eastAsia"/>
        </w:rPr>
        <w:t>取り組みで</w:t>
      </w:r>
      <w:r w:rsidRPr="00440FA5">
        <w:rPr>
          <w:rFonts w:hint="eastAsia"/>
        </w:rPr>
        <w:t>あることを考えると、社会モデルの使用における還元主義</w:t>
      </w:r>
      <w:r w:rsidR="00997D99">
        <w:rPr>
          <w:rFonts w:hint="eastAsia"/>
        </w:rPr>
        <w:t>（単純化）</w:t>
      </w:r>
      <w:r w:rsidRPr="00440FA5">
        <w:rPr>
          <w:rFonts w:hint="eastAsia"/>
        </w:rPr>
        <w:t>は理解可能である。障害の社会モデルは国際的な障害運動のモットーとなっており、それは法的改革を要求するための強力な手段として役立った。</w:t>
      </w:r>
      <w:r w:rsidR="00997D99">
        <w:rPr>
          <w:rFonts w:hint="eastAsia"/>
        </w:rPr>
        <w:t>ランベイク・トラウスタドッティ</w:t>
      </w:r>
      <w:r w:rsidRPr="00440FA5">
        <w:t>、</w:t>
      </w:r>
      <w:r w:rsidR="00997D99">
        <w:rPr>
          <w:rFonts w:hint="eastAsia"/>
        </w:rPr>
        <w:t>マーク・プリーストリ</w:t>
      </w:r>
      <w:r w:rsidRPr="00440FA5">
        <w:t>、および</w:t>
      </w:r>
      <w:r w:rsidR="00997D99">
        <w:rPr>
          <w:rFonts w:hint="eastAsia"/>
        </w:rPr>
        <w:t>トム・シェークスピア</w:t>
      </w:r>
      <w:r w:rsidR="000E2526">
        <w:rPr>
          <w:rStyle w:val="ac"/>
        </w:rPr>
        <w:footnoteReference w:id="130"/>
      </w:r>
      <w:r w:rsidRPr="00440FA5">
        <w:t>が示しているように、障害</w:t>
      </w:r>
      <w:r w:rsidR="00997D99">
        <w:rPr>
          <w:rFonts w:hint="eastAsia"/>
        </w:rPr>
        <w:t>学</w:t>
      </w:r>
      <w:r w:rsidRPr="00440FA5">
        <w:t>やそ</w:t>
      </w:r>
      <w:r w:rsidRPr="00440FA5">
        <w:rPr>
          <w:rFonts w:hint="eastAsia"/>
        </w:rPr>
        <w:t>の他の科学分野では、さまざまな社会理論や障害のモデルが</w:t>
      </w:r>
      <w:r w:rsidR="00D015D9">
        <w:rPr>
          <w:rFonts w:hint="eastAsia"/>
        </w:rPr>
        <w:t>ある</w:t>
      </w:r>
      <w:r w:rsidRPr="00440FA5">
        <w:rPr>
          <w:rFonts w:hint="eastAsia"/>
        </w:rPr>
        <w:t>。</w:t>
      </w:r>
      <w:r w:rsidR="00997D99">
        <w:rPr>
          <w:rFonts w:hint="eastAsia"/>
        </w:rPr>
        <w:t>イギリス</w:t>
      </w:r>
      <w:r w:rsidRPr="00440FA5">
        <w:rPr>
          <w:rFonts w:hint="eastAsia"/>
        </w:rPr>
        <w:t>の社会モデルは、</w:t>
      </w:r>
      <w:r w:rsidR="00997D99">
        <w:rPr>
          <w:rFonts w:hint="eastAsia"/>
        </w:rPr>
        <w:t>アメリカ</w:t>
      </w:r>
      <w:r w:rsidRPr="00440FA5">
        <w:rPr>
          <w:rFonts w:hint="eastAsia"/>
        </w:rPr>
        <w:t>の</w:t>
      </w:r>
      <w:r w:rsidR="00997D99">
        <w:rPr>
          <w:rFonts w:hint="eastAsia"/>
        </w:rPr>
        <w:t>マイノリテイ</w:t>
      </w:r>
      <w:r w:rsidRPr="00440FA5">
        <w:rPr>
          <w:rFonts w:hint="eastAsia"/>
        </w:rPr>
        <w:t>グループのアプローチや北欧の</w:t>
      </w:r>
      <w:r w:rsidR="00997D99">
        <w:rPr>
          <w:rFonts w:hint="eastAsia"/>
        </w:rPr>
        <w:t>関係</w:t>
      </w:r>
      <w:r w:rsidRPr="00440FA5">
        <w:rPr>
          <w:rFonts w:hint="eastAsia"/>
        </w:rPr>
        <w:t>アプローチ</w:t>
      </w:r>
      <w:r w:rsidR="00997D99">
        <w:rPr>
          <w:rFonts w:hint="eastAsia"/>
        </w:rPr>
        <w:t>（</w:t>
      </w:r>
      <w:r w:rsidR="00997D99" w:rsidRPr="00997D99">
        <w:t>relational approach</w:t>
      </w:r>
      <w:r w:rsidR="00997D99">
        <w:rPr>
          <w:rFonts w:hint="eastAsia"/>
        </w:rPr>
        <w:t>）</w:t>
      </w:r>
      <w:r w:rsidRPr="00440FA5">
        <w:rPr>
          <w:rFonts w:hint="eastAsia"/>
        </w:rPr>
        <w:t>とは区別されて</w:t>
      </w:r>
      <w:r w:rsidR="00D015D9">
        <w:rPr>
          <w:rFonts w:hint="eastAsia"/>
        </w:rPr>
        <w:t>いる</w:t>
      </w:r>
      <w:r w:rsidR="000E2526">
        <w:rPr>
          <w:rStyle w:val="ac"/>
        </w:rPr>
        <w:footnoteReference w:id="131"/>
      </w:r>
      <w:r w:rsidRPr="00440FA5">
        <w:t>。</w:t>
      </w:r>
      <w:r w:rsidR="00997D99">
        <w:rPr>
          <w:rFonts w:hint="eastAsia"/>
        </w:rPr>
        <w:t>障害の</w:t>
      </w:r>
      <w:r w:rsidRPr="00440FA5">
        <w:t>社会</w:t>
      </w:r>
      <w:r w:rsidR="00997D99">
        <w:rPr>
          <w:rFonts w:hint="eastAsia"/>
        </w:rPr>
        <w:t>モデル</w:t>
      </w:r>
      <w:r w:rsidRPr="00440FA5">
        <w:t>、文化</w:t>
      </w:r>
      <w:r w:rsidR="00997D99">
        <w:rPr>
          <w:rFonts w:hint="eastAsia"/>
        </w:rPr>
        <w:t>モデル</w:t>
      </w:r>
      <w:r w:rsidR="000E2526">
        <w:rPr>
          <w:rStyle w:val="ac"/>
        </w:rPr>
        <w:footnoteReference w:id="132"/>
      </w:r>
      <w:r w:rsidRPr="00440FA5">
        <w:t>、</w:t>
      </w:r>
      <w:r w:rsidR="00997D99">
        <w:rPr>
          <w:rFonts w:hint="eastAsia"/>
        </w:rPr>
        <w:t>個人</w:t>
      </w:r>
      <w:r w:rsidRPr="00440FA5">
        <w:t>モデルに加えて、障害理論は唯物論と</w:t>
      </w:r>
      <w:r w:rsidR="006B54E8">
        <w:rPr>
          <w:rFonts w:hint="eastAsia"/>
        </w:rPr>
        <w:t>理念論（i</w:t>
      </w:r>
      <w:r w:rsidR="006B54E8">
        <w:t>dealist</w:t>
      </w:r>
      <w:r w:rsidR="006B54E8">
        <w:rPr>
          <w:rFonts w:hint="eastAsia"/>
        </w:rPr>
        <w:t>）</w:t>
      </w:r>
      <w:r w:rsidRPr="00440FA5">
        <w:t>の類型論に分けられて</w:t>
      </w:r>
      <w:r w:rsidR="00D015D9">
        <w:t>いる</w:t>
      </w:r>
      <w:r w:rsidR="000E2526">
        <w:rPr>
          <w:rStyle w:val="ac"/>
        </w:rPr>
        <w:footnoteReference w:id="133"/>
      </w:r>
      <w:r w:rsidRPr="00440FA5">
        <w:t>。</w:t>
      </w:r>
      <w:r w:rsidR="006B54E8">
        <w:rPr>
          <w:rFonts w:hint="eastAsia"/>
        </w:rPr>
        <w:t>私の意図は</w:t>
      </w:r>
      <w:r w:rsidRPr="00440FA5">
        <w:t>社会モデルを非難する</w:t>
      </w:r>
      <w:r w:rsidR="006B54E8">
        <w:rPr>
          <w:rFonts w:hint="eastAsia"/>
        </w:rPr>
        <w:t>のではなく、</w:t>
      </w:r>
      <w:r w:rsidRPr="00440FA5">
        <w:t>それをさらに進める</w:t>
      </w:r>
      <w:r w:rsidR="006B54E8">
        <w:rPr>
          <w:rFonts w:hint="eastAsia"/>
        </w:rPr>
        <w:t>ことである</w:t>
      </w:r>
      <w:r w:rsidRPr="00440FA5">
        <w:t>。他の多くの人権</w:t>
      </w:r>
      <w:r w:rsidR="006B54E8">
        <w:rPr>
          <w:rFonts w:hint="eastAsia"/>
        </w:rPr>
        <w:t>の事業のように</w:t>
      </w:r>
      <w:r w:rsidRPr="00440FA5">
        <w:t>、</w:t>
      </w:r>
      <w:r w:rsidR="006B54E8" w:rsidRPr="00440FA5">
        <w:t>CRPDは</w:t>
      </w:r>
      <w:r w:rsidRPr="00440FA5">
        <w:t>総会で採択され</w:t>
      </w:r>
      <w:r w:rsidR="00CF0704">
        <w:rPr>
          <w:rFonts w:hint="eastAsia"/>
        </w:rPr>
        <w:t>、こ</w:t>
      </w:r>
      <w:r w:rsidRPr="00440FA5">
        <w:t>の世界に</w:t>
      </w:r>
      <w:r w:rsidR="00CF0704">
        <w:rPr>
          <w:rFonts w:hint="eastAsia"/>
        </w:rPr>
        <w:t>生を得た</w:t>
      </w:r>
      <w:r w:rsidRPr="00440FA5">
        <w:t>。</w:t>
      </w:r>
      <w:r w:rsidR="00CF0704" w:rsidRPr="00440FA5">
        <w:rPr>
          <w:rFonts w:hint="eastAsia"/>
        </w:rPr>
        <w:t>これまでのところ</w:t>
      </w:r>
      <w:r w:rsidR="00CF0704">
        <w:rPr>
          <w:rFonts w:hint="eastAsia"/>
        </w:rPr>
        <w:t>、</w:t>
      </w:r>
      <w:r w:rsidR="006B54E8" w:rsidRPr="00440FA5">
        <w:t>ほんの数例を挙げれば</w:t>
      </w:r>
      <w:r w:rsidR="006B54E8">
        <w:rPr>
          <w:rFonts w:hint="eastAsia"/>
        </w:rPr>
        <w:t>、</w:t>
      </w:r>
      <w:r w:rsidRPr="00440FA5">
        <w:t>人権の監視、国際協力、アクセシビリティと法的能力</w:t>
      </w:r>
      <w:r w:rsidR="006B54E8" w:rsidRPr="00440FA5">
        <w:t>の議論</w:t>
      </w:r>
      <w:r w:rsidRPr="00440FA5">
        <w:t>、あるいは包括的な</w:t>
      </w:r>
      <w:r w:rsidRPr="00440FA5">
        <w:rPr>
          <w:rFonts w:hint="eastAsia"/>
        </w:rPr>
        <w:t>教育など、多くの分野で</w:t>
      </w:r>
      <w:r w:rsidR="00CF0704">
        <w:rPr>
          <w:rFonts w:hint="eastAsia"/>
        </w:rPr>
        <w:t>ずば抜けた</w:t>
      </w:r>
      <w:r w:rsidRPr="00440FA5">
        <w:rPr>
          <w:rFonts w:hint="eastAsia"/>
        </w:rPr>
        <w:t>影響</w:t>
      </w:r>
      <w:r w:rsidR="00CF0704">
        <w:rPr>
          <w:rFonts w:hint="eastAsia"/>
        </w:rPr>
        <w:t>を見せている。</w:t>
      </w:r>
      <w:r w:rsidRPr="00440FA5">
        <w:rPr>
          <w:rFonts w:hint="eastAsia"/>
        </w:rPr>
        <w:t>背景</w:t>
      </w:r>
      <w:r w:rsidR="006B54E8">
        <w:rPr>
          <w:rFonts w:hint="eastAsia"/>
        </w:rPr>
        <w:t>となっている</w:t>
      </w:r>
      <w:r w:rsidRPr="00440FA5">
        <w:rPr>
          <w:rFonts w:hint="eastAsia"/>
        </w:rPr>
        <w:t>研究</w:t>
      </w:r>
      <w:r w:rsidR="006B54E8">
        <w:rPr>
          <w:rFonts w:hint="eastAsia"/>
        </w:rPr>
        <w:t>を見ると、</w:t>
      </w:r>
      <w:r w:rsidRPr="00440FA5">
        <w:rPr>
          <w:rFonts w:hint="eastAsia"/>
        </w:rPr>
        <w:t>障害者権利運動</w:t>
      </w:r>
      <w:r w:rsidR="006B54E8">
        <w:rPr>
          <w:rFonts w:hint="eastAsia"/>
        </w:rPr>
        <w:t>は</w:t>
      </w:r>
      <w:r w:rsidRPr="00440FA5">
        <w:rPr>
          <w:rFonts w:hint="eastAsia"/>
        </w:rPr>
        <w:t>人権の概念を受け入れたが、</w:t>
      </w:r>
      <w:r w:rsidR="00360DC0" w:rsidRPr="00440FA5">
        <w:rPr>
          <w:rFonts w:hint="eastAsia"/>
        </w:rPr>
        <w:t>多くの障害者権利組織は</w:t>
      </w:r>
      <w:r w:rsidR="00360DC0">
        <w:rPr>
          <w:rFonts w:hint="eastAsia"/>
        </w:rPr>
        <w:t>、</w:t>
      </w:r>
      <w:r w:rsidRPr="00440FA5">
        <w:rPr>
          <w:rFonts w:hint="eastAsia"/>
        </w:rPr>
        <w:t>アムネスティインターナショナル</w:t>
      </w:r>
      <w:r w:rsidR="00360DC0">
        <w:rPr>
          <w:rFonts w:hint="eastAsia"/>
        </w:rPr>
        <w:t>や人権監視（</w:t>
      </w:r>
      <w:r w:rsidR="00360DC0" w:rsidRPr="00360DC0">
        <w:t>Human Rights Watch</w:t>
      </w:r>
      <w:r w:rsidR="00360DC0">
        <w:rPr>
          <w:rFonts w:hint="eastAsia"/>
        </w:rPr>
        <w:t>）</w:t>
      </w:r>
      <w:r w:rsidRPr="00440FA5">
        <w:rPr>
          <w:rFonts w:hint="eastAsia"/>
        </w:rPr>
        <w:t>のような主流の人権団体に匹敵するよう</w:t>
      </w:r>
      <w:r w:rsidR="00360DC0">
        <w:rPr>
          <w:rFonts w:hint="eastAsia"/>
        </w:rPr>
        <w:t>な</w:t>
      </w:r>
      <w:r w:rsidRPr="00440FA5">
        <w:rPr>
          <w:rFonts w:hint="eastAsia"/>
        </w:rPr>
        <w:t>、システム</w:t>
      </w:r>
      <w:r w:rsidR="00360DC0">
        <w:rPr>
          <w:rFonts w:hint="eastAsia"/>
        </w:rPr>
        <w:t>を動かす力</w:t>
      </w:r>
      <w:r w:rsidRPr="00440FA5">
        <w:rPr>
          <w:rFonts w:hint="eastAsia"/>
        </w:rPr>
        <w:t>として</w:t>
      </w:r>
      <w:r w:rsidR="00CF0704">
        <w:rPr>
          <w:rFonts w:hint="eastAsia"/>
        </w:rPr>
        <w:t>の</w:t>
      </w:r>
      <w:r w:rsidRPr="00440FA5">
        <w:rPr>
          <w:rFonts w:hint="eastAsia"/>
        </w:rPr>
        <w:t>人権団体に</w:t>
      </w:r>
      <w:r w:rsidR="00CF0704">
        <w:rPr>
          <w:rFonts w:hint="eastAsia"/>
        </w:rPr>
        <w:t>は</w:t>
      </w:r>
      <w:r w:rsidRPr="00440FA5">
        <w:rPr>
          <w:rFonts w:hint="eastAsia"/>
        </w:rPr>
        <w:t>なっていない</w:t>
      </w:r>
      <w:r w:rsidR="000E2526">
        <w:rPr>
          <w:rStyle w:val="ac"/>
        </w:rPr>
        <w:footnoteReference w:id="134"/>
      </w:r>
      <w:r w:rsidR="00360DC0">
        <w:rPr>
          <w:rFonts w:hint="eastAsia"/>
        </w:rPr>
        <w:t>。</w:t>
      </w:r>
      <w:r w:rsidRPr="00440FA5">
        <w:rPr>
          <w:rFonts w:hint="eastAsia"/>
        </w:rPr>
        <w:t>それにもかかわらず、</w:t>
      </w:r>
      <w:r w:rsidRPr="00440FA5">
        <w:t>DPOはすぐに学び、国際障害同盟</w:t>
      </w:r>
      <w:r w:rsidR="00360DC0">
        <w:rPr>
          <w:rFonts w:hint="eastAsia"/>
        </w:rPr>
        <w:t>（</w:t>
      </w:r>
      <w:r w:rsidR="00360DC0" w:rsidRPr="00360DC0">
        <w:t>International Disability Alliance</w:t>
      </w:r>
      <w:r w:rsidR="00360DC0">
        <w:rPr>
          <w:rFonts w:hint="eastAsia"/>
        </w:rPr>
        <w:t>）</w:t>
      </w:r>
      <w:r w:rsidRPr="00440FA5">
        <w:t>などのいくつかの組織は、国連の人権システムにおいて最も影響力のある主体の一部となった。このように、政治活動は人権に</w:t>
      </w:r>
      <w:r w:rsidR="00360DC0">
        <w:rPr>
          <w:rFonts w:hint="eastAsia"/>
        </w:rPr>
        <w:t>向かって</w:t>
      </w:r>
      <w:r w:rsidRPr="00440FA5">
        <w:t>おり、CRPDは障害の人権モデルの体系化であると結論付けることができ</w:t>
      </w:r>
      <w:r w:rsidR="00D015D9">
        <w:t>る</w:t>
      </w:r>
      <w:r w:rsidRPr="00440FA5">
        <w:rPr>
          <w:rFonts w:hint="eastAsia"/>
        </w:rPr>
        <w:t>。委員会は、最近の</w:t>
      </w:r>
      <w:r w:rsidR="008007BA">
        <w:rPr>
          <w:rFonts w:hint="eastAsia"/>
        </w:rPr>
        <w:t>総括</w:t>
      </w:r>
      <w:r w:rsidRPr="00440FA5">
        <w:rPr>
          <w:rFonts w:hint="eastAsia"/>
        </w:rPr>
        <w:t>所見において、障害の人権モデルという用語を</w:t>
      </w:r>
      <w:r w:rsidR="008007BA">
        <w:rPr>
          <w:rFonts w:hint="eastAsia"/>
        </w:rPr>
        <w:t>盛り込んだ</w:t>
      </w:r>
      <w:r w:rsidR="000E2526">
        <w:rPr>
          <w:rStyle w:val="ac"/>
        </w:rPr>
        <w:footnoteReference w:id="135"/>
      </w:r>
      <w:r w:rsidRPr="00440FA5">
        <w:t>。しかし、締約国報告の大部分は、障害の人権モデルの明確な理解を反映していない。障害の医学的モデルに頼るのは</w:t>
      </w:r>
      <w:r w:rsidR="008007BA">
        <w:rPr>
          <w:rFonts w:hint="eastAsia"/>
        </w:rPr>
        <w:t>時代遅れに</w:t>
      </w:r>
      <w:r w:rsidRPr="00440FA5">
        <w:t>なって</w:t>
      </w:r>
      <w:r w:rsidR="00D015D9">
        <w:t>いる</w:t>
      </w:r>
      <w:r w:rsidRPr="00440FA5">
        <w:t>が、人権モデルへのパラダイムシフトはまだ</w:t>
      </w:r>
      <w:r w:rsidR="008007BA">
        <w:rPr>
          <w:rFonts w:hint="eastAsia"/>
        </w:rPr>
        <w:t>起きていない</w:t>
      </w:r>
      <w:r w:rsidRPr="00440FA5">
        <w:t>。</w:t>
      </w:r>
      <w:r w:rsidR="00360DC0">
        <w:rPr>
          <w:rFonts w:hint="eastAsia"/>
        </w:rPr>
        <w:t xml:space="preserve">　</w:t>
      </w:r>
    </w:p>
    <w:p w:rsidR="00440FA5" w:rsidRPr="00CF0704" w:rsidRDefault="00CF0704" w:rsidP="00CF0704">
      <w:pPr>
        <w:jc w:val="right"/>
        <w:rPr>
          <w:rFonts w:ascii="ＭＳ ゴシック" w:eastAsia="ＭＳ ゴシック" w:hAnsi="ＭＳ ゴシック"/>
        </w:rPr>
      </w:pPr>
      <w:r w:rsidRPr="00CF0704">
        <w:rPr>
          <w:rFonts w:ascii="ＭＳ ゴシック" w:eastAsia="ＭＳ ゴシック" w:hAnsi="ＭＳ ゴシック" w:hint="eastAsia"/>
        </w:rPr>
        <w:t>（仮訳：佐藤久夫）</w:t>
      </w:r>
    </w:p>
    <w:sectPr w:rsidR="00440FA5" w:rsidRPr="00CF0704">
      <w:footerReference w:type="default" r:id="rId7"/>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A5" w:rsidRDefault="000201A5" w:rsidP="00440FA5">
      <w:r>
        <w:separator/>
      </w:r>
    </w:p>
  </w:endnote>
  <w:endnote w:type="continuationSeparator" w:id="0">
    <w:p w:rsidR="000201A5" w:rsidRDefault="000201A5" w:rsidP="0044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630940"/>
      <w:docPartObj>
        <w:docPartGallery w:val="Page Numbers (Bottom of Page)"/>
        <w:docPartUnique/>
      </w:docPartObj>
    </w:sdtPr>
    <w:sdtEndPr/>
    <w:sdtContent>
      <w:p w:rsidR="000201A5" w:rsidRDefault="000201A5">
        <w:pPr>
          <w:pStyle w:val="a6"/>
        </w:pPr>
        <w:r>
          <w:fldChar w:fldCharType="begin"/>
        </w:r>
        <w:r>
          <w:instrText>PAGE   \* MERGEFORMAT</w:instrText>
        </w:r>
        <w:r>
          <w:fldChar w:fldCharType="separate"/>
        </w:r>
        <w:r w:rsidR="00452A95" w:rsidRPr="00452A95">
          <w:rPr>
            <w:noProof/>
            <w:lang w:val="ja-JP"/>
          </w:rPr>
          <w:t>1</w:t>
        </w:r>
        <w:r>
          <w:fldChar w:fldCharType="end"/>
        </w:r>
      </w:p>
    </w:sdtContent>
  </w:sdt>
  <w:p w:rsidR="000201A5" w:rsidRDefault="000201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A5" w:rsidRDefault="000201A5" w:rsidP="00440FA5">
      <w:r>
        <w:separator/>
      </w:r>
    </w:p>
  </w:footnote>
  <w:footnote w:type="continuationSeparator" w:id="0">
    <w:p w:rsidR="000201A5" w:rsidRDefault="000201A5" w:rsidP="00440FA5">
      <w:r>
        <w:continuationSeparator/>
      </w:r>
    </w:p>
  </w:footnote>
  <w:footnote w:id="1">
    <w:p w:rsidR="000201A5" w:rsidRDefault="000201A5">
      <w:pPr>
        <w:pStyle w:val="aa"/>
      </w:pPr>
      <w:r>
        <w:rPr>
          <w:rStyle w:val="ac"/>
        </w:rPr>
        <w:footnoteRef/>
      </w:r>
      <w:r>
        <w:t xml:space="preserve"> </w:t>
      </w:r>
      <w:r w:rsidRPr="00953104">
        <w:rPr>
          <w:rFonts w:ascii="Arial" w:hAnsi="Arial" w:cs="Arial"/>
          <w:sz w:val="18"/>
          <w:szCs w:val="18"/>
        </w:rPr>
        <w:t>Negotiations started in 2002.</w:t>
      </w:r>
    </w:p>
  </w:footnote>
  <w:footnote w:id="2">
    <w:p w:rsidR="000201A5" w:rsidRDefault="000201A5">
      <w:pPr>
        <w:pStyle w:val="aa"/>
      </w:pPr>
      <w:r>
        <w:rPr>
          <w:rStyle w:val="ac"/>
        </w:rPr>
        <w:footnoteRef/>
      </w:r>
      <w:r>
        <w:t xml:space="preserve"> </w:t>
      </w:r>
      <w:r w:rsidRPr="00953104">
        <w:rPr>
          <w:rFonts w:ascii="Arial" w:hAnsi="Arial" w:cs="Arial"/>
          <w:sz w:val="18"/>
          <w:szCs w:val="18"/>
        </w:rPr>
        <w:t>As of 3 October 2014.</w:t>
      </w:r>
    </w:p>
  </w:footnote>
  <w:footnote w:id="3">
    <w:p w:rsidR="000201A5" w:rsidRDefault="000201A5">
      <w:pPr>
        <w:pStyle w:val="aa"/>
      </w:pPr>
      <w:r>
        <w:rPr>
          <w:rStyle w:val="ac"/>
        </w:rPr>
        <w:footnoteRef/>
      </w:r>
      <w:r>
        <w:t xml:space="preserve"> </w:t>
      </w:r>
      <w:r w:rsidRPr="00953104">
        <w:rPr>
          <w:rFonts w:ascii="Arial" w:hAnsi="Arial" w:cs="Arial"/>
          <w:sz w:val="18"/>
          <w:szCs w:val="18"/>
        </w:rPr>
        <w:t>As of 3 October 2014.</w:t>
      </w:r>
    </w:p>
  </w:footnote>
  <w:footnote w:id="4">
    <w:p w:rsidR="000201A5" w:rsidRDefault="000201A5">
      <w:pPr>
        <w:pStyle w:val="aa"/>
      </w:pPr>
      <w:r>
        <w:rPr>
          <w:rStyle w:val="ac"/>
        </w:rPr>
        <w:footnoteRef/>
      </w:r>
      <w:r>
        <w:t xml:space="preserve"> </w:t>
      </w:r>
      <w:r w:rsidRPr="00953104">
        <w:rPr>
          <w:rFonts w:ascii="Arial" w:hAnsi="Arial" w:cs="Arial"/>
          <w:sz w:val="18"/>
          <w:szCs w:val="18"/>
        </w:rPr>
        <w:t>The EU acceded to it on 23 December 2010.</w:t>
      </w:r>
    </w:p>
  </w:footnote>
  <w:footnote w:id="5">
    <w:p w:rsidR="000201A5" w:rsidRDefault="000201A5">
      <w:pPr>
        <w:pStyle w:val="aa"/>
      </w:pPr>
      <w:r>
        <w:rPr>
          <w:rStyle w:val="ac"/>
        </w:rPr>
        <w:footnoteRef/>
      </w:r>
      <w:r>
        <w:t xml:space="preserve"> </w:t>
      </w:r>
      <w:r w:rsidRPr="00953104">
        <w:rPr>
          <w:rFonts w:ascii="Arial" w:hAnsi="Arial" w:cs="Arial"/>
          <w:sz w:val="18"/>
          <w:szCs w:val="18"/>
        </w:rPr>
        <w:t>Art. 33 CRPD.</w:t>
      </w:r>
    </w:p>
  </w:footnote>
  <w:footnote w:id="6">
    <w:p w:rsidR="000201A5" w:rsidRDefault="000201A5">
      <w:pPr>
        <w:pStyle w:val="aa"/>
      </w:pPr>
      <w:r>
        <w:rPr>
          <w:rStyle w:val="ac"/>
        </w:rPr>
        <w:footnoteRef/>
      </w:r>
      <w:r>
        <w:t xml:space="preserve"> </w:t>
      </w:r>
      <w:r w:rsidRPr="00953104">
        <w:rPr>
          <w:rFonts w:ascii="Arial" w:hAnsi="Arial" w:cs="Arial"/>
          <w:sz w:val="18"/>
          <w:szCs w:val="18"/>
        </w:rPr>
        <w:t>Art. 32 CRPD.</w:t>
      </w:r>
    </w:p>
  </w:footnote>
  <w:footnote w:id="7">
    <w:p w:rsidR="000201A5" w:rsidRDefault="000201A5">
      <w:pPr>
        <w:pStyle w:val="aa"/>
      </w:pPr>
      <w:r>
        <w:rPr>
          <w:rStyle w:val="ac"/>
        </w:rPr>
        <w:footnoteRef/>
      </w:r>
      <w:r>
        <w:t xml:space="preserve"> </w:t>
      </w:r>
      <w:r w:rsidRPr="00953104">
        <w:rPr>
          <w:rFonts w:ascii="Arial" w:hAnsi="Arial" w:cs="Arial"/>
          <w:sz w:val="18"/>
          <w:szCs w:val="18"/>
        </w:rPr>
        <w:t>2011–2018.</w:t>
      </w:r>
    </w:p>
  </w:footnote>
  <w:footnote w:id="8">
    <w:p w:rsidR="000201A5" w:rsidRDefault="000201A5">
      <w:pPr>
        <w:pStyle w:val="aa"/>
      </w:pPr>
      <w:r>
        <w:rPr>
          <w:rStyle w:val="ac"/>
        </w:rPr>
        <w:footnoteRef/>
      </w:r>
      <w:r>
        <w:t xml:space="preserve"> </w:t>
      </w:r>
      <w:r w:rsidRPr="00953104">
        <w:rPr>
          <w:rFonts w:ascii="Arial" w:hAnsi="Arial" w:cs="Arial"/>
          <w:sz w:val="18"/>
          <w:szCs w:val="18"/>
        </w:rPr>
        <w:t>Art. 35 CRPD.</w:t>
      </w:r>
    </w:p>
  </w:footnote>
  <w:footnote w:id="9">
    <w:p w:rsidR="000201A5" w:rsidRDefault="000201A5">
      <w:pPr>
        <w:pStyle w:val="aa"/>
      </w:pPr>
      <w:r>
        <w:rPr>
          <w:rStyle w:val="ac"/>
        </w:rPr>
        <w:footnoteRef/>
      </w:r>
      <w:r>
        <w:t xml:space="preserve"> </w:t>
      </w:r>
      <w:r w:rsidRPr="00953104">
        <w:rPr>
          <w:rFonts w:ascii="Arial" w:hAnsi="Arial" w:cs="Arial"/>
          <w:sz w:val="18"/>
          <w:szCs w:val="18"/>
        </w:rPr>
        <w:t>Against States Parties that have ratified the Optional Protocol to the CRPD, Art. 1 OP to CRPD.</w:t>
      </w:r>
    </w:p>
  </w:footnote>
  <w:footnote w:id="10">
    <w:p w:rsidR="000201A5" w:rsidRDefault="000201A5">
      <w:pPr>
        <w:pStyle w:val="aa"/>
      </w:pPr>
      <w:r>
        <w:rPr>
          <w:rStyle w:val="ac"/>
        </w:rPr>
        <w:footnoteRef/>
      </w:r>
      <w:r>
        <w:t xml:space="preserve"> </w:t>
      </w:r>
      <w:r w:rsidRPr="00953104">
        <w:rPr>
          <w:rFonts w:ascii="Arial" w:hAnsi="Arial" w:cs="Arial"/>
          <w:sz w:val="18"/>
          <w:szCs w:val="18"/>
        </w:rPr>
        <w:t>Art. 6 OP to CRPD.</w:t>
      </w:r>
    </w:p>
  </w:footnote>
  <w:footnote w:id="11">
    <w:p w:rsidR="000201A5" w:rsidRDefault="000201A5">
      <w:pPr>
        <w:pStyle w:val="aa"/>
      </w:pPr>
      <w:r>
        <w:rPr>
          <w:rStyle w:val="ac"/>
        </w:rPr>
        <w:footnoteRef/>
      </w:r>
      <w:r>
        <w:t xml:space="preserve"> </w:t>
      </w:r>
      <w:r w:rsidRPr="00953104">
        <w:rPr>
          <w:rFonts w:ascii="Arial" w:hAnsi="Arial" w:cs="Arial"/>
          <w:sz w:val="18"/>
          <w:szCs w:val="18"/>
        </w:rPr>
        <w:t>GC No 1 on legal capacity (Art. 12 CRPD) and GC No 2 on accessibility (Art. 9 CRPD). All documents can be found at: http://www.ohchr.org/en/hrbodies/crpd/pages/crpdindex.aspx (last visited 5 October 2014).</w:t>
      </w:r>
    </w:p>
  </w:footnote>
  <w:footnote w:id="12">
    <w:p w:rsidR="000201A5" w:rsidRDefault="000201A5">
      <w:pPr>
        <w:pStyle w:val="aa"/>
      </w:pPr>
      <w:r>
        <w:rPr>
          <w:rStyle w:val="ac"/>
        </w:rPr>
        <w:footnoteRef/>
      </w:r>
      <w:r>
        <w:t xml:space="preserve"> </w:t>
      </w:r>
      <w:r w:rsidRPr="00953104">
        <w:rPr>
          <w:rFonts w:ascii="Arial" w:hAnsi="Arial" w:cs="Arial"/>
          <w:sz w:val="18"/>
          <w:szCs w:val="18"/>
        </w:rPr>
        <w:t xml:space="preserve">Quinn, ‘Resisting the “Temptation of Elegance”: Can the Convention on the Rights of Persons with Disabilities </w:t>
      </w:r>
      <w:proofErr w:type="spellStart"/>
      <w:r w:rsidRPr="00953104">
        <w:rPr>
          <w:rFonts w:ascii="Arial" w:hAnsi="Arial" w:cs="Arial"/>
          <w:sz w:val="18"/>
          <w:szCs w:val="18"/>
        </w:rPr>
        <w:t>Socialise</w:t>
      </w:r>
      <w:proofErr w:type="spellEnd"/>
      <w:r w:rsidRPr="00953104">
        <w:rPr>
          <w:rFonts w:ascii="Arial" w:hAnsi="Arial" w:cs="Arial"/>
          <w:sz w:val="18"/>
          <w:szCs w:val="18"/>
        </w:rPr>
        <w:t xml:space="preserve"> States to Right </w:t>
      </w:r>
      <w:proofErr w:type="spellStart"/>
      <w:r w:rsidRPr="00953104">
        <w:rPr>
          <w:rFonts w:ascii="Arial" w:hAnsi="Arial" w:cs="Arial"/>
          <w:sz w:val="18"/>
          <w:szCs w:val="18"/>
        </w:rPr>
        <w:t>Behaviour</w:t>
      </w:r>
      <w:proofErr w:type="spellEnd"/>
      <w:r w:rsidRPr="00953104">
        <w:rPr>
          <w:rFonts w:ascii="Arial" w:hAnsi="Arial" w:cs="Arial"/>
          <w:sz w:val="18"/>
          <w:szCs w:val="18"/>
        </w:rPr>
        <w:t xml:space="preserve">?’, in O. M. </w:t>
      </w:r>
      <w:proofErr w:type="spellStart"/>
      <w:r w:rsidRPr="00953104">
        <w:rPr>
          <w:rFonts w:ascii="Arial" w:hAnsi="Arial" w:cs="Arial"/>
          <w:sz w:val="18"/>
          <w:szCs w:val="18"/>
        </w:rPr>
        <w:t>Arnadóttir</w:t>
      </w:r>
      <w:proofErr w:type="spellEnd"/>
      <w:r w:rsidRPr="00953104">
        <w:rPr>
          <w:rFonts w:ascii="Arial" w:hAnsi="Arial" w:cs="Arial"/>
          <w:sz w:val="18"/>
          <w:szCs w:val="18"/>
        </w:rPr>
        <w:t xml:space="preserve"> and G. Quinn (eds), The UN Convention on the Rights of Persons with Disabilities. European and Scandinavian Perspectives (2009).</w:t>
      </w:r>
    </w:p>
  </w:footnote>
  <w:footnote w:id="13">
    <w:p w:rsidR="000201A5" w:rsidRDefault="000201A5">
      <w:pPr>
        <w:pStyle w:val="aa"/>
      </w:pPr>
      <w:r>
        <w:rPr>
          <w:rStyle w:val="ac"/>
        </w:rPr>
        <w:footnoteRef/>
      </w:r>
      <w:r>
        <w:t xml:space="preserve"> </w:t>
      </w:r>
      <w:r w:rsidRPr="00953104">
        <w:rPr>
          <w:rFonts w:ascii="Arial" w:hAnsi="Arial" w:cs="Arial"/>
          <w:sz w:val="18"/>
          <w:szCs w:val="18"/>
        </w:rPr>
        <w:t>Oliver, ‘The social model of disability: thirty years on’, 28 Disability &amp; Society (2013), at 1026.</w:t>
      </w:r>
    </w:p>
  </w:footnote>
  <w:footnote w:id="14">
    <w:p w:rsidR="000201A5" w:rsidRDefault="000201A5">
      <w:pPr>
        <w:pStyle w:val="aa"/>
      </w:pPr>
      <w:r>
        <w:rPr>
          <w:rStyle w:val="ac"/>
        </w:rPr>
        <w:footnoteRef/>
      </w:r>
      <w:r>
        <w:t xml:space="preserve"> </w:t>
      </w:r>
      <w:proofErr w:type="spellStart"/>
      <w:r w:rsidRPr="00953104">
        <w:rPr>
          <w:rFonts w:ascii="Arial" w:hAnsi="Arial" w:cs="Arial"/>
          <w:sz w:val="18"/>
          <w:szCs w:val="18"/>
        </w:rPr>
        <w:t>Mitra</w:t>
      </w:r>
      <w:proofErr w:type="spellEnd"/>
      <w:r w:rsidRPr="00953104">
        <w:rPr>
          <w:rFonts w:ascii="Arial" w:hAnsi="Arial" w:cs="Arial"/>
          <w:sz w:val="18"/>
          <w:szCs w:val="18"/>
        </w:rPr>
        <w:t xml:space="preserve">, ‘The </w:t>
      </w:r>
      <w:proofErr w:type="spellStart"/>
      <w:r w:rsidRPr="00953104">
        <w:rPr>
          <w:rFonts w:ascii="Arial" w:hAnsi="Arial" w:cs="Arial"/>
          <w:sz w:val="18"/>
          <w:szCs w:val="18"/>
        </w:rPr>
        <w:t>Capapility</w:t>
      </w:r>
      <w:proofErr w:type="spellEnd"/>
      <w:r w:rsidRPr="00953104">
        <w:rPr>
          <w:rFonts w:ascii="Arial" w:hAnsi="Arial" w:cs="Arial"/>
          <w:sz w:val="18"/>
          <w:szCs w:val="18"/>
        </w:rPr>
        <w:t xml:space="preserve"> Approach and Disability’, 16 Journal of Disability Policy Studies (2006).</w:t>
      </w:r>
    </w:p>
  </w:footnote>
  <w:footnote w:id="15">
    <w:p w:rsidR="000201A5" w:rsidRDefault="000201A5">
      <w:pPr>
        <w:pStyle w:val="aa"/>
      </w:pPr>
      <w:r>
        <w:rPr>
          <w:rStyle w:val="ac"/>
        </w:rPr>
        <w:footnoteRef/>
      </w:r>
      <w:r>
        <w:t xml:space="preserve"> </w:t>
      </w:r>
      <w:proofErr w:type="spellStart"/>
      <w:r w:rsidRPr="00953104">
        <w:rPr>
          <w:rFonts w:ascii="Arial" w:hAnsi="Arial" w:cs="Arial"/>
          <w:sz w:val="18"/>
          <w:szCs w:val="18"/>
        </w:rPr>
        <w:t>Waldschmidt</w:t>
      </w:r>
      <w:proofErr w:type="spellEnd"/>
      <w:r w:rsidRPr="00953104">
        <w:rPr>
          <w:rFonts w:ascii="Arial" w:hAnsi="Arial" w:cs="Arial"/>
          <w:sz w:val="18"/>
          <w:szCs w:val="18"/>
        </w:rPr>
        <w:t>, ‘</w:t>
      </w:r>
      <w:proofErr w:type="spellStart"/>
      <w:r w:rsidRPr="00953104">
        <w:rPr>
          <w:rFonts w:ascii="Arial" w:hAnsi="Arial" w:cs="Arial"/>
          <w:sz w:val="18"/>
          <w:szCs w:val="18"/>
        </w:rPr>
        <w:t>Brauchen</w:t>
      </w:r>
      <w:proofErr w:type="spellEnd"/>
      <w:r w:rsidRPr="00953104">
        <w:rPr>
          <w:rFonts w:ascii="Arial" w:hAnsi="Arial" w:cs="Arial"/>
          <w:sz w:val="18"/>
          <w:szCs w:val="18"/>
        </w:rPr>
        <w:t xml:space="preserve"> die Disability Studies </w:t>
      </w:r>
      <w:proofErr w:type="spellStart"/>
      <w:r w:rsidRPr="00953104">
        <w:rPr>
          <w:rFonts w:ascii="Arial" w:hAnsi="Arial" w:cs="Arial"/>
          <w:sz w:val="18"/>
          <w:szCs w:val="18"/>
        </w:rPr>
        <w:t>ein</w:t>
      </w:r>
      <w:proofErr w:type="spellEnd"/>
      <w:r w:rsidRPr="00953104">
        <w:rPr>
          <w:rFonts w:ascii="Arial" w:hAnsi="Arial" w:cs="Arial"/>
          <w:sz w:val="18"/>
          <w:szCs w:val="18"/>
        </w:rPr>
        <w:t xml:space="preserve"> "</w:t>
      </w:r>
      <w:proofErr w:type="spellStart"/>
      <w:r w:rsidRPr="00953104">
        <w:rPr>
          <w:rFonts w:ascii="Arial" w:hAnsi="Arial" w:cs="Arial"/>
          <w:sz w:val="18"/>
          <w:szCs w:val="18"/>
        </w:rPr>
        <w:t>kulturelles</w:t>
      </w:r>
      <w:proofErr w:type="spellEnd"/>
      <w:r w:rsidRPr="00953104">
        <w:rPr>
          <w:rFonts w:ascii="Arial" w:hAnsi="Arial" w:cs="Arial"/>
          <w:sz w:val="18"/>
          <w:szCs w:val="18"/>
        </w:rPr>
        <w:t xml:space="preserve"> Modell" von </w:t>
      </w:r>
      <w:proofErr w:type="spellStart"/>
      <w:r w:rsidRPr="00953104">
        <w:rPr>
          <w:rFonts w:ascii="Arial" w:hAnsi="Arial" w:cs="Arial"/>
          <w:sz w:val="18"/>
          <w:szCs w:val="18"/>
        </w:rPr>
        <w:t>Behinderung</w:t>
      </w:r>
      <w:proofErr w:type="spellEnd"/>
      <w:r w:rsidRPr="00953104">
        <w:rPr>
          <w:rFonts w:ascii="Arial" w:hAnsi="Arial" w:cs="Arial"/>
          <w:sz w:val="18"/>
          <w:szCs w:val="18"/>
        </w:rPr>
        <w:t xml:space="preserve">?‘, in G. Hermes and E. </w:t>
      </w:r>
      <w:proofErr w:type="spellStart"/>
      <w:r w:rsidRPr="00953104">
        <w:rPr>
          <w:rFonts w:ascii="Arial" w:hAnsi="Arial" w:cs="Arial"/>
          <w:sz w:val="18"/>
          <w:szCs w:val="18"/>
        </w:rPr>
        <w:t>Rohrman</w:t>
      </w:r>
      <w:proofErr w:type="spellEnd"/>
      <w:r w:rsidRPr="00953104">
        <w:rPr>
          <w:rFonts w:ascii="Arial" w:hAnsi="Arial" w:cs="Arial"/>
          <w:sz w:val="18"/>
          <w:szCs w:val="18"/>
        </w:rPr>
        <w:t xml:space="preserve"> (</w:t>
      </w:r>
      <w:proofErr w:type="spellStart"/>
      <w:r w:rsidRPr="00953104">
        <w:rPr>
          <w:rFonts w:ascii="Arial" w:hAnsi="Arial" w:cs="Arial"/>
          <w:sz w:val="18"/>
          <w:szCs w:val="18"/>
        </w:rPr>
        <w:t>eds</w:t>
      </w:r>
      <w:proofErr w:type="spellEnd"/>
      <w:r w:rsidRPr="00953104">
        <w:rPr>
          <w:rFonts w:ascii="Arial" w:hAnsi="Arial" w:cs="Arial"/>
          <w:sz w:val="18"/>
          <w:szCs w:val="18"/>
        </w:rPr>
        <w:t xml:space="preserve">), </w:t>
      </w:r>
      <w:proofErr w:type="spellStart"/>
      <w:r w:rsidRPr="00953104">
        <w:rPr>
          <w:rFonts w:ascii="Arial" w:hAnsi="Arial" w:cs="Arial"/>
          <w:sz w:val="18"/>
          <w:szCs w:val="18"/>
        </w:rPr>
        <w:t>Nichts</w:t>
      </w:r>
      <w:proofErr w:type="spellEnd"/>
      <w:r w:rsidRPr="00953104">
        <w:rPr>
          <w:rFonts w:ascii="Arial" w:hAnsi="Arial" w:cs="Arial"/>
          <w:sz w:val="18"/>
          <w:szCs w:val="18"/>
        </w:rPr>
        <w:t xml:space="preserve"> </w:t>
      </w:r>
      <w:proofErr w:type="spellStart"/>
      <w:r w:rsidRPr="00953104">
        <w:rPr>
          <w:rFonts w:ascii="Arial" w:hAnsi="Arial" w:cs="Arial"/>
          <w:sz w:val="18"/>
          <w:szCs w:val="18"/>
        </w:rPr>
        <w:t>über</w:t>
      </w:r>
      <w:proofErr w:type="spellEnd"/>
      <w:r w:rsidRPr="00953104">
        <w:rPr>
          <w:rFonts w:ascii="Arial" w:hAnsi="Arial" w:cs="Arial"/>
          <w:sz w:val="18"/>
          <w:szCs w:val="18"/>
        </w:rPr>
        <w:t xml:space="preserve"> </w:t>
      </w:r>
      <w:proofErr w:type="spellStart"/>
      <w:r w:rsidRPr="00953104">
        <w:rPr>
          <w:rFonts w:ascii="Arial" w:hAnsi="Arial" w:cs="Arial"/>
          <w:sz w:val="18"/>
          <w:szCs w:val="18"/>
        </w:rPr>
        <w:t>uns</w:t>
      </w:r>
      <w:proofErr w:type="spellEnd"/>
      <w:r w:rsidRPr="00953104">
        <w:rPr>
          <w:rFonts w:ascii="Arial" w:hAnsi="Arial" w:cs="Arial"/>
          <w:sz w:val="18"/>
          <w:szCs w:val="18"/>
        </w:rPr>
        <w:t xml:space="preserve"> - </w:t>
      </w:r>
      <w:proofErr w:type="spellStart"/>
      <w:r w:rsidRPr="00953104">
        <w:rPr>
          <w:rFonts w:ascii="Arial" w:hAnsi="Arial" w:cs="Arial"/>
          <w:sz w:val="18"/>
          <w:szCs w:val="18"/>
        </w:rPr>
        <w:t>ohne</w:t>
      </w:r>
      <w:proofErr w:type="spellEnd"/>
      <w:r w:rsidRPr="00953104">
        <w:rPr>
          <w:rFonts w:ascii="Arial" w:hAnsi="Arial" w:cs="Arial"/>
          <w:sz w:val="18"/>
          <w:szCs w:val="18"/>
        </w:rPr>
        <w:t xml:space="preserve"> </w:t>
      </w:r>
      <w:proofErr w:type="spellStart"/>
      <w:r w:rsidRPr="00953104">
        <w:rPr>
          <w:rFonts w:ascii="Arial" w:hAnsi="Arial" w:cs="Arial"/>
          <w:sz w:val="18"/>
          <w:szCs w:val="18"/>
        </w:rPr>
        <w:t>uns</w:t>
      </w:r>
      <w:proofErr w:type="spellEnd"/>
      <w:r w:rsidRPr="00953104">
        <w:rPr>
          <w:rFonts w:ascii="Arial" w:hAnsi="Arial" w:cs="Arial"/>
          <w:sz w:val="18"/>
          <w:szCs w:val="18"/>
        </w:rPr>
        <w:t xml:space="preserve">! Disability Studies </w:t>
      </w:r>
      <w:proofErr w:type="spellStart"/>
      <w:r w:rsidRPr="00953104">
        <w:rPr>
          <w:rFonts w:ascii="Arial" w:hAnsi="Arial" w:cs="Arial"/>
          <w:sz w:val="18"/>
          <w:szCs w:val="18"/>
        </w:rPr>
        <w:t>als</w:t>
      </w:r>
      <w:proofErr w:type="spellEnd"/>
      <w:r w:rsidRPr="00953104">
        <w:rPr>
          <w:rFonts w:ascii="Arial" w:hAnsi="Arial" w:cs="Arial"/>
          <w:sz w:val="18"/>
          <w:szCs w:val="18"/>
        </w:rPr>
        <w:t xml:space="preserve"> </w:t>
      </w:r>
      <w:proofErr w:type="spellStart"/>
      <w:r w:rsidRPr="00953104">
        <w:rPr>
          <w:rFonts w:ascii="Arial" w:hAnsi="Arial" w:cs="Arial"/>
          <w:sz w:val="18"/>
          <w:szCs w:val="18"/>
        </w:rPr>
        <w:t>neuer</w:t>
      </w:r>
      <w:proofErr w:type="spellEnd"/>
      <w:r w:rsidRPr="00953104">
        <w:rPr>
          <w:rFonts w:ascii="Arial" w:hAnsi="Arial" w:cs="Arial"/>
          <w:sz w:val="18"/>
          <w:szCs w:val="18"/>
        </w:rPr>
        <w:t xml:space="preserve"> Ansatz </w:t>
      </w:r>
      <w:proofErr w:type="spellStart"/>
      <w:r w:rsidRPr="00953104">
        <w:rPr>
          <w:rFonts w:ascii="Arial" w:hAnsi="Arial" w:cs="Arial"/>
          <w:sz w:val="18"/>
          <w:szCs w:val="18"/>
        </w:rPr>
        <w:t>emanzipatorischer</w:t>
      </w:r>
      <w:proofErr w:type="spellEnd"/>
      <w:r w:rsidRPr="00953104">
        <w:rPr>
          <w:rFonts w:ascii="Arial" w:hAnsi="Arial" w:cs="Arial"/>
          <w:sz w:val="18"/>
          <w:szCs w:val="18"/>
        </w:rPr>
        <w:t xml:space="preserve"> und </w:t>
      </w:r>
      <w:proofErr w:type="spellStart"/>
      <w:r w:rsidRPr="00953104">
        <w:rPr>
          <w:rFonts w:ascii="Arial" w:hAnsi="Arial" w:cs="Arial"/>
          <w:sz w:val="18"/>
          <w:szCs w:val="18"/>
        </w:rPr>
        <w:t>interdisziplinärer</w:t>
      </w:r>
      <w:proofErr w:type="spellEnd"/>
      <w:r w:rsidRPr="00953104">
        <w:rPr>
          <w:rFonts w:ascii="Arial" w:hAnsi="Arial" w:cs="Arial"/>
          <w:sz w:val="18"/>
          <w:szCs w:val="18"/>
        </w:rPr>
        <w:t xml:space="preserve"> </w:t>
      </w:r>
      <w:proofErr w:type="spellStart"/>
      <w:r w:rsidRPr="00953104">
        <w:rPr>
          <w:rFonts w:ascii="Arial" w:hAnsi="Arial" w:cs="Arial"/>
          <w:sz w:val="18"/>
          <w:szCs w:val="18"/>
        </w:rPr>
        <w:t>Forschung</w:t>
      </w:r>
      <w:proofErr w:type="spellEnd"/>
      <w:r w:rsidRPr="00953104">
        <w:rPr>
          <w:rFonts w:ascii="Arial" w:hAnsi="Arial" w:cs="Arial"/>
          <w:sz w:val="18"/>
          <w:szCs w:val="18"/>
        </w:rPr>
        <w:t xml:space="preserve"> </w:t>
      </w:r>
      <w:proofErr w:type="spellStart"/>
      <w:r w:rsidRPr="00953104">
        <w:rPr>
          <w:rFonts w:ascii="Arial" w:hAnsi="Arial" w:cs="Arial"/>
          <w:sz w:val="18"/>
          <w:szCs w:val="18"/>
        </w:rPr>
        <w:t>über</w:t>
      </w:r>
      <w:proofErr w:type="spellEnd"/>
      <w:r w:rsidRPr="00953104">
        <w:rPr>
          <w:rFonts w:ascii="Arial" w:hAnsi="Arial" w:cs="Arial"/>
          <w:sz w:val="18"/>
          <w:szCs w:val="18"/>
        </w:rPr>
        <w:t xml:space="preserve"> </w:t>
      </w:r>
      <w:proofErr w:type="spellStart"/>
      <w:r w:rsidRPr="00953104">
        <w:rPr>
          <w:rFonts w:ascii="Arial" w:hAnsi="Arial" w:cs="Arial"/>
          <w:sz w:val="18"/>
          <w:szCs w:val="18"/>
        </w:rPr>
        <w:t>Behinderung</w:t>
      </w:r>
      <w:proofErr w:type="spellEnd"/>
      <w:r w:rsidRPr="00953104">
        <w:rPr>
          <w:rFonts w:ascii="Arial" w:hAnsi="Arial" w:cs="Arial"/>
          <w:sz w:val="18"/>
          <w:szCs w:val="18"/>
        </w:rPr>
        <w:t xml:space="preserve">  (2006).</w:t>
      </w:r>
    </w:p>
  </w:footnote>
  <w:footnote w:id="16">
    <w:p w:rsidR="000201A5" w:rsidRDefault="000201A5">
      <w:pPr>
        <w:pStyle w:val="aa"/>
      </w:pPr>
      <w:r>
        <w:rPr>
          <w:rStyle w:val="ac"/>
        </w:rPr>
        <w:footnoteRef/>
      </w:r>
      <w:r>
        <w:t xml:space="preserve"> </w:t>
      </w:r>
      <w:r w:rsidRPr="00953104">
        <w:rPr>
          <w:rFonts w:ascii="Arial" w:hAnsi="Arial" w:cs="Arial"/>
          <w:sz w:val="18"/>
          <w:szCs w:val="18"/>
        </w:rPr>
        <w:t>M. Oliver, ‘The politics of disablement’ (1990).</w:t>
      </w:r>
    </w:p>
  </w:footnote>
  <w:footnote w:id="17">
    <w:p w:rsidR="000201A5" w:rsidRDefault="000201A5">
      <w:pPr>
        <w:pStyle w:val="aa"/>
      </w:pPr>
      <w:r>
        <w:rPr>
          <w:rStyle w:val="ac"/>
        </w:rPr>
        <w:footnoteRef/>
      </w:r>
      <w:r>
        <w:t xml:space="preserve"> </w:t>
      </w:r>
      <w:proofErr w:type="spellStart"/>
      <w:r w:rsidRPr="00953104">
        <w:rPr>
          <w:rFonts w:ascii="Arial" w:hAnsi="Arial" w:cs="Arial"/>
          <w:sz w:val="18"/>
          <w:szCs w:val="18"/>
        </w:rPr>
        <w:t>Dhanda</w:t>
      </w:r>
      <w:proofErr w:type="spellEnd"/>
      <w:r w:rsidRPr="00953104">
        <w:rPr>
          <w:rFonts w:ascii="Arial" w:hAnsi="Arial" w:cs="Arial"/>
          <w:sz w:val="18"/>
          <w:szCs w:val="18"/>
        </w:rPr>
        <w:t>, ‘Legal capacity in the disability rights convention’, 34 Syracuse Journal Of International Law and Commerce (2007).</w:t>
      </w:r>
    </w:p>
  </w:footnote>
  <w:footnote w:id="18">
    <w:p w:rsidR="000201A5" w:rsidRDefault="000201A5">
      <w:pPr>
        <w:pStyle w:val="aa"/>
      </w:pPr>
      <w:r>
        <w:rPr>
          <w:rStyle w:val="ac"/>
        </w:rPr>
        <w:footnoteRef/>
      </w:r>
      <w:r>
        <w:t xml:space="preserve"> </w:t>
      </w:r>
      <w:proofErr w:type="spellStart"/>
      <w:r w:rsidRPr="00953104">
        <w:rPr>
          <w:rFonts w:ascii="Arial" w:hAnsi="Arial" w:cs="Arial"/>
          <w:sz w:val="18"/>
          <w:szCs w:val="18"/>
        </w:rPr>
        <w:t>Kayess</w:t>
      </w:r>
      <w:proofErr w:type="spellEnd"/>
      <w:r w:rsidRPr="00953104">
        <w:rPr>
          <w:rFonts w:ascii="Arial" w:hAnsi="Arial" w:cs="Arial"/>
          <w:sz w:val="18"/>
          <w:szCs w:val="18"/>
        </w:rPr>
        <w:t xml:space="preserve"> and French, ‘Out of Darkness into Light?’, 1 Human Rights Law Review (2008); </w:t>
      </w:r>
      <w:proofErr w:type="spellStart"/>
      <w:r w:rsidRPr="00953104">
        <w:rPr>
          <w:rFonts w:ascii="Arial" w:hAnsi="Arial" w:cs="Arial"/>
          <w:sz w:val="18"/>
          <w:szCs w:val="18"/>
        </w:rPr>
        <w:t>Trömel</w:t>
      </w:r>
      <w:proofErr w:type="spellEnd"/>
      <w:r w:rsidRPr="00953104">
        <w:rPr>
          <w:rFonts w:ascii="Arial" w:hAnsi="Arial" w:cs="Arial"/>
          <w:sz w:val="18"/>
          <w:szCs w:val="18"/>
        </w:rPr>
        <w:t>, ‘A Personal Perspective on the Drafting History of the United Nations Convention on the Rights of Persons with Disabilities’, in G. Quinn and L. Waddington (eds), European Yearbook of Disability Law (2009).</w:t>
      </w:r>
    </w:p>
  </w:footnote>
  <w:footnote w:id="19">
    <w:p w:rsidR="000201A5" w:rsidRDefault="000201A5">
      <w:pPr>
        <w:pStyle w:val="aa"/>
      </w:pPr>
      <w:r>
        <w:rPr>
          <w:rStyle w:val="ac"/>
        </w:rPr>
        <w:footnoteRef/>
      </w:r>
      <w:r>
        <w:t xml:space="preserve"> </w:t>
      </w:r>
      <w:proofErr w:type="spellStart"/>
      <w:r w:rsidRPr="00953104">
        <w:rPr>
          <w:rFonts w:ascii="Arial" w:hAnsi="Arial" w:cs="Arial"/>
          <w:sz w:val="18"/>
          <w:szCs w:val="18"/>
        </w:rPr>
        <w:t>Degener</w:t>
      </w:r>
      <w:proofErr w:type="spellEnd"/>
      <w:r w:rsidRPr="00953104">
        <w:rPr>
          <w:rFonts w:ascii="Arial" w:hAnsi="Arial" w:cs="Arial"/>
          <w:sz w:val="18"/>
          <w:szCs w:val="18"/>
        </w:rPr>
        <w:t xml:space="preserve"> and Quinn, ‘A Survey of International, Comparative and Regional Disability Law Reform’, in M. L. Breslin and S. Yee (eds), Disability Rights Law and Policy (2002), at 13.  </w:t>
      </w:r>
    </w:p>
  </w:footnote>
  <w:footnote w:id="20">
    <w:p w:rsidR="000201A5" w:rsidRDefault="000201A5">
      <w:pPr>
        <w:pStyle w:val="aa"/>
      </w:pPr>
      <w:r>
        <w:rPr>
          <w:rStyle w:val="ac"/>
        </w:rPr>
        <w:footnoteRef/>
      </w:r>
      <w:r>
        <w:t xml:space="preserve"> </w:t>
      </w:r>
      <w:r w:rsidRPr="00953104">
        <w:rPr>
          <w:rFonts w:ascii="Arial" w:hAnsi="Arial" w:cs="Arial"/>
          <w:sz w:val="18"/>
          <w:szCs w:val="18"/>
        </w:rPr>
        <w:t xml:space="preserve">G. Quinn and T. </w:t>
      </w:r>
      <w:proofErr w:type="spellStart"/>
      <w:r w:rsidRPr="00953104">
        <w:rPr>
          <w:rFonts w:ascii="Arial" w:hAnsi="Arial" w:cs="Arial"/>
          <w:sz w:val="18"/>
          <w:szCs w:val="18"/>
        </w:rPr>
        <w:t>Degener</w:t>
      </w:r>
      <w:proofErr w:type="spellEnd"/>
      <w:r w:rsidRPr="00953104">
        <w:rPr>
          <w:rFonts w:ascii="Arial" w:hAnsi="Arial" w:cs="Arial"/>
          <w:sz w:val="18"/>
          <w:szCs w:val="18"/>
        </w:rPr>
        <w:t>, ‘Human rights and disability’ (2002), at 14.</w:t>
      </w:r>
    </w:p>
  </w:footnote>
  <w:footnote w:id="21">
    <w:p w:rsidR="000201A5" w:rsidRDefault="000201A5">
      <w:pPr>
        <w:pStyle w:val="aa"/>
      </w:pPr>
      <w:r>
        <w:rPr>
          <w:rStyle w:val="ac"/>
        </w:rPr>
        <w:footnoteRef/>
      </w:r>
      <w:r>
        <w:t xml:space="preserve"> </w:t>
      </w:r>
      <w:r w:rsidRPr="00953104">
        <w:rPr>
          <w:rFonts w:ascii="Arial" w:hAnsi="Arial" w:cs="Arial"/>
          <w:sz w:val="18"/>
          <w:szCs w:val="18"/>
        </w:rPr>
        <w:t xml:space="preserve">Other models are e.g. the normalization principle, the minority model, or the Nordic relational model, </w:t>
      </w:r>
      <w:proofErr w:type="spellStart"/>
      <w:r w:rsidRPr="00953104">
        <w:rPr>
          <w:rFonts w:ascii="Arial" w:hAnsi="Arial" w:cs="Arial"/>
          <w:sz w:val="18"/>
          <w:szCs w:val="18"/>
        </w:rPr>
        <w:t>Traustadottir</w:t>
      </w:r>
      <w:proofErr w:type="spellEnd"/>
      <w:r w:rsidRPr="00953104">
        <w:rPr>
          <w:rFonts w:ascii="Arial" w:hAnsi="Arial" w:cs="Arial"/>
          <w:sz w:val="18"/>
          <w:szCs w:val="18"/>
        </w:rPr>
        <w:t xml:space="preserve">, ‘Disability Studies, the Social Model and Legal Developments’, in O. M. </w:t>
      </w:r>
      <w:proofErr w:type="spellStart"/>
      <w:r w:rsidRPr="00953104">
        <w:rPr>
          <w:rFonts w:ascii="Arial" w:hAnsi="Arial" w:cs="Arial"/>
          <w:sz w:val="18"/>
          <w:szCs w:val="18"/>
        </w:rPr>
        <w:t>Arnadóttir</w:t>
      </w:r>
      <w:proofErr w:type="spellEnd"/>
      <w:r w:rsidRPr="00953104">
        <w:rPr>
          <w:rFonts w:ascii="Arial" w:hAnsi="Arial" w:cs="Arial"/>
          <w:sz w:val="18"/>
          <w:szCs w:val="18"/>
        </w:rPr>
        <w:t xml:space="preserve"> and G. Quinn (eds), The UN Convention on the Rights of Persons with Disabilities (2009)  </w:t>
      </w:r>
    </w:p>
  </w:footnote>
  <w:footnote w:id="22">
    <w:p w:rsidR="000201A5" w:rsidRDefault="000201A5" w:rsidP="00D934E2">
      <w:pPr>
        <w:pStyle w:val="aa"/>
      </w:pPr>
      <w:r>
        <w:rPr>
          <w:rStyle w:val="ac"/>
        </w:rPr>
        <w:footnoteRef/>
      </w:r>
      <w:r>
        <w:t xml:space="preserve"> </w:t>
      </w:r>
      <w:r w:rsidRPr="00953104">
        <w:rPr>
          <w:rFonts w:ascii="Arial" w:hAnsi="Arial" w:cs="Arial"/>
          <w:sz w:val="18"/>
          <w:szCs w:val="18"/>
        </w:rPr>
        <w:t>M. Oliver, ‘Understanding disability’ (1996), at 33.</w:t>
      </w:r>
    </w:p>
  </w:footnote>
  <w:footnote w:id="23">
    <w:p w:rsidR="000201A5" w:rsidRDefault="000201A5">
      <w:pPr>
        <w:pStyle w:val="aa"/>
      </w:pPr>
      <w:r>
        <w:rPr>
          <w:rStyle w:val="ac"/>
        </w:rPr>
        <w:footnoteRef/>
      </w:r>
      <w:r>
        <w:t xml:space="preserve"> </w:t>
      </w:r>
      <w:r w:rsidRPr="00953104">
        <w:rPr>
          <w:rFonts w:ascii="Arial" w:hAnsi="Arial" w:cs="Arial"/>
          <w:sz w:val="18"/>
          <w:szCs w:val="18"/>
        </w:rPr>
        <w:t>Art. 1 CRPD.</w:t>
      </w:r>
    </w:p>
  </w:footnote>
  <w:footnote w:id="24">
    <w:p w:rsidR="000201A5" w:rsidRDefault="000201A5">
      <w:pPr>
        <w:pStyle w:val="aa"/>
      </w:pPr>
      <w:r>
        <w:rPr>
          <w:rStyle w:val="ac"/>
        </w:rPr>
        <w:footnoteRef/>
      </w:r>
      <w:r>
        <w:t xml:space="preserve"> </w:t>
      </w:r>
      <w:r w:rsidRPr="00953104">
        <w:rPr>
          <w:rFonts w:ascii="Arial" w:hAnsi="Arial" w:cs="Arial"/>
          <w:sz w:val="18"/>
          <w:szCs w:val="18"/>
        </w:rPr>
        <w:t>Consisting of three human rights instruments: Universal Declaration of Human Rights, Human Rights Committee, Committee on Economic, Social and Cultural Rights.</w:t>
      </w:r>
    </w:p>
  </w:footnote>
  <w:footnote w:id="25">
    <w:p w:rsidR="000201A5" w:rsidRDefault="000201A5">
      <w:pPr>
        <w:pStyle w:val="aa"/>
      </w:pPr>
      <w:r>
        <w:rPr>
          <w:rStyle w:val="ac"/>
        </w:rPr>
        <w:footnoteRef/>
      </w:r>
      <w:r>
        <w:t xml:space="preserve"> </w:t>
      </w:r>
      <w:r w:rsidRPr="00953104">
        <w:rPr>
          <w:rFonts w:ascii="Arial" w:hAnsi="Arial" w:cs="Arial"/>
          <w:sz w:val="18"/>
          <w:szCs w:val="18"/>
        </w:rPr>
        <w:t>Preamble para c) CRPD.</w:t>
      </w:r>
    </w:p>
  </w:footnote>
  <w:footnote w:id="26">
    <w:p w:rsidR="000201A5" w:rsidRDefault="000201A5">
      <w:pPr>
        <w:pStyle w:val="aa"/>
      </w:pPr>
      <w:r>
        <w:rPr>
          <w:rStyle w:val="ac"/>
        </w:rPr>
        <w:footnoteRef/>
      </w:r>
      <w:r>
        <w:t xml:space="preserve"> </w:t>
      </w:r>
      <w:r w:rsidRPr="00953104">
        <w:rPr>
          <w:rFonts w:ascii="Arial" w:hAnsi="Arial" w:cs="Arial"/>
          <w:sz w:val="18"/>
          <w:szCs w:val="18"/>
        </w:rPr>
        <w:t>Preamble para j) CRPD.</w:t>
      </w:r>
    </w:p>
  </w:footnote>
  <w:footnote w:id="27">
    <w:p w:rsidR="000201A5" w:rsidRDefault="000201A5">
      <w:pPr>
        <w:pStyle w:val="aa"/>
      </w:pPr>
      <w:r>
        <w:rPr>
          <w:rStyle w:val="ac"/>
        </w:rPr>
        <w:footnoteRef/>
      </w:r>
      <w:r>
        <w:t xml:space="preserve"> </w:t>
      </w:r>
      <w:r w:rsidRPr="00953104">
        <w:rPr>
          <w:rFonts w:ascii="Arial" w:hAnsi="Arial" w:cs="Arial"/>
          <w:sz w:val="18"/>
          <w:szCs w:val="18"/>
        </w:rPr>
        <w:t>Art. 12(1) and (2) CRPD.</w:t>
      </w:r>
    </w:p>
  </w:footnote>
  <w:footnote w:id="28">
    <w:p w:rsidR="000201A5" w:rsidRDefault="000201A5">
      <w:pPr>
        <w:pStyle w:val="aa"/>
      </w:pPr>
      <w:r>
        <w:rPr>
          <w:rStyle w:val="ac"/>
        </w:rPr>
        <w:footnoteRef/>
      </w:r>
      <w:r>
        <w:t xml:space="preserve"> </w:t>
      </w:r>
      <w:r w:rsidRPr="00953104">
        <w:rPr>
          <w:rFonts w:ascii="Arial" w:hAnsi="Arial" w:cs="Arial"/>
          <w:sz w:val="18"/>
          <w:szCs w:val="18"/>
        </w:rPr>
        <w:t>M. Oliver, supra note 22, at 63.</w:t>
      </w:r>
    </w:p>
  </w:footnote>
  <w:footnote w:id="29">
    <w:p w:rsidR="000201A5" w:rsidRDefault="000201A5">
      <w:pPr>
        <w:pStyle w:val="aa"/>
      </w:pPr>
      <w:r>
        <w:rPr>
          <w:rStyle w:val="ac"/>
        </w:rPr>
        <w:footnoteRef/>
      </w:r>
      <w:r>
        <w:t xml:space="preserve"> </w:t>
      </w:r>
      <w:r w:rsidRPr="00953104">
        <w:rPr>
          <w:rFonts w:ascii="Arial" w:hAnsi="Arial" w:cs="Arial"/>
          <w:sz w:val="18"/>
          <w:szCs w:val="18"/>
        </w:rPr>
        <w:t xml:space="preserve">L. Waddington, ‘From Rome to Nice in a Wheelchair’ (2006); </w:t>
      </w:r>
      <w:proofErr w:type="spellStart"/>
      <w:r w:rsidRPr="00953104">
        <w:rPr>
          <w:rFonts w:ascii="Arial" w:hAnsi="Arial" w:cs="Arial"/>
          <w:sz w:val="18"/>
          <w:szCs w:val="18"/>
        </w:rPr>
        <w:t>Degener</w:t>
      </w:r>
      <w:proofErr w:type="spellEnd"/>
      <w:r w:rsidRPr="00953104">
        <w:rPr>
          <w:rFonts w:ascii="Arial" w:hAnsi="Arial" w:cs="Arial"/>
          <w:sz w:val="18"/>
          <w:szCs w:val="18"/>
        </w:rPr>
        <w:t xml:space="preserve"> and Quinn, supra note 19; A. Lawson, ‘Disability and equality law in Britain. The role of reasonable adjustment’ (2008); A. Lawson and C. Gooding, ‘Disability Rights in Europe. From Theory to Practice’ (2005).</w:t>
      </w:r>
    </w:p>
  </w:footnote>
  <w:footnote w:id="30">
    <w:p w:rsidR="000201A5" w:rsidRDefault="000201A5">
      <w:pPr>
        <w:pStyle w:val="aa"/>
      </w:pPr>
      <w:r>
        <w:rPr>
          <w:rStyle w:val="ac"/>
        </w:rPr>
        <w:footnoteRef/>
      </w:r>
      <w:r>
        <w:t xml:space="preserve"> </w:t>
      </w:r>
      <w:r w:rsidRPr="00953104">
        <w:rPr>
          <w:rFonts w:ascii="Arial" w:hAnsi="Arial" w:cs="Arial"/>
          <w:sz w:val="18"/>
          <w:szCs w:val="18"/>
        </w:rPr>
        <w:t>V. Finkelstein, ‘The 'Social Model of Disability' and the Disability movement’ (2007), at: http://www.leeds.ac.uk/disabilitystudies/archiveuk/finkelstein/The%20Social%20Model%20of%20Disability%20and%20the%20Disability%20 Movement.pdf; Priestley, ‘We're all Europeans now! The social model of disability and European social policy’, in C. Barnes and G. Mercer (eds), The social model of disability (2005), at 23.</w:t>
      </w:r>
    </w:p>
  </w:footnote>
  <w:footnote w:id="31">
    <w:p w:rsidR="000201A5" w:rsidRDefault="000201A5">
      <w:pPr>
        <w:pStyle w:val="aa"/>
      </w:pPr>
      <w:r>
        <w:rPr>
          <w:rStyle w:val="ac"/>
        </w:rPr>
        <w:footnoteRef/>
      </w:r>
      <w:r>
        <w:t xml:space="preserve"> </w:t>
      </w:r>
      <w:r w:rsidRPr="00953104">
        <w:rPr>
          <w:rFonts w:ascii="Arial" w:hAnsi="Arial" w:cs="Arial"/>
          <w:sz w:val="18"/>
          <w:szCs w:val="18"/>
        </w:rPr>
        <w:t>Priestley, supra note 30, at 23; M. Oliver, supra note 22, at 152–156.</w:t>
      </w:r>
    </w:p>
  </w:footnote>
  <w:footnote w:id="32">
    <w:p w:rsidR="000201A5" w:rsidRDefault="000201A5">
      <w:pPr>
        <w:pStyle w:val="aa"/>
      </w:pPr>
      <w:r>
        <w:rPr>
          <w:rStyle w:val="ac"/>
        </w:rPr>
        <w:footnoteRef/>
      </w:r>
      <w:r>
        <w:t xml:space="preserve"> </w:t>
      </w:r>
      <w:proofErr w:type="spellStart"/>
      <w:r w:rsidRPr="00953104">
        <w:rPr>
          <w:rFonts w:ascii="Arial" w:hAnsi="Arial" w:cs="Arial"/>
          <w:sz w:val="18"/>
          <w:szCs w:val="18"/>
        </w:rPr>
        <w:t>Degener</w:t>
      </w:r>
      <w:proofErr w:type="spellEnd"/>
      <w:r w:rsidRPr="00953104">
        <w:rPr>
          <w:rFonts w:ascii="Arial" w:hAnsi="Arial" w:cs="Arial"/>
          <w:sz w:val="18"/>
          <w:szCs w:val="18"/>
        </w:rPr>
        <w:t xml:space="preserve"> and Quinn, supra note 19, at 6; C. Gooding, ‘Disabling laws, enabling acts’ (1994), at 10–13; C. Barnes, ‘Disabled people in Britain and discrimination’ (1991).</w:t>
      </w:r>
    </w:p>
  </w:footnote>
  <w:footnote w:id="33">
    <w:p w:rsidR="000201A5" w:rsidRDefault="000201A5">
      <w:pPr>
        <w:pStyle w:val="aa"/>
      </w:pPr>
      <w:r>
        <w:rPr>
          <w:rStyle w:val="ac"/>
        </w:rPr>
        <w:footnoteRef/>
      </w:r>
      <w:r>
        <w:t xml:space="preserve"> </w:t>
      </w:r>
      <w:r w:rsidRPr="00953104">
        <w:rPr>
          <w:rFonts w:ascii="Arial" w:hAnsi="Arial" w:cs="Arial"/>
          <w:sz w:val="18"/>
          <w:szCs w:val="18"/>
        </w:rPr>
        <w:t>European Disability Strategy 2010–2020, at: http://eurlex.europa.eu/LexUriServ/LexUriServ.do?uri=CELEX:52010DC0636:en:NOT (last visited 14 March 2013).</w:t>
      </w:r>
    </w:p>
  </w:footnote>
  <w:footnote w:id="34">
    <w:p w:rsidR="000201A5" w:rsidRDefault="000201A5">
      <w:pPr>
        <w:pStyle w:val="aa"/>
      </w:pPr>
      <w:r>
        <w:rPr>
          <w:rStyle w:val="ac"/>
        </w:rPr>
        <w:footnoteRef/>
      </w:r>
      <w:r>
        <w:t xml:space="preserve"> </w:t>
      </w:r>
      <w:r w:rsidRPr="00953104">
        <w:rPr>
          <w:rFonts w:ascii="Arial" w:hAnsi="Arial" w:cs="Arial"/>
          <w:sz w:val="18"/>
          <w:szCs w:val="18"/>
        </w:rPr>
        <w:t>M. Oliver, supra note 22, at 112.</w:t>
      </w:r>
    </w:p>
  </w:footnote>
  <w:footnote w:id="35">
    <w:p w:rsidR="000201A5" w:rsidRDefault="000201A5">
      <w:pPr>
        <w:pStyle w:val="aa"/>
      </w:pPr>
      <w:r>
        <w:rPr>
          <w:rStyle w:val="ac"/>
        </w:rPr>
        <w:footnoteRef/>
      </w:r>
      <w:r>
        <w:t xml:space="preserve"> </w:t>
      </w:r>
      <w:r w:rsidRPr="00953104">
        <w:rPr>
          <w:rFonts w:ascii="Arial" w:hAnsi="Arial" w:cs="Arial"/>
          <w:sz w:val="18"/>
          <w:szCs w:val="18"/>
        </w:rPr>
        <w:t>L. J. Davis, ‘The disability studies reader’ (1997).</w:t>
      </w:r>
    </w:p>
  </w:footnote>
  <w:footnote w:id="36">
    <w:p w:rsidR="000201A5" w:rsidRDefault="000201A5">
      <w:pPr>
        <w:pStyle w:val="aa"/>
      </w:pPr>
      <w:r>
        <w:rPr>
          <w:rStyle w:val="ac"/>
        </w:rPr>
        <w:footnoteRef/>
      </w:r>
      <w:r>
        <w:t xml:space="preserve"> </w:t>
      </w:r>
      <w:r w:rsidRPr="00953104">
        <w:rPr>
          <w:rFonts w:ascii="Arial" w:hAnsi="Arial" w:cs="Arial"/>
          <w:sz w:val="18"/>
          <w:szCs w:val="18"/>
        </w:rPr>
        <w:t>M. Oliver, supra note 22, at 83.</w:t>
      </w:r>
    </w:p>
  </w:footnote>
  <w:footnote w:id="37">
    <w:p w:rsidR="000201A5" w:rsidRDefault="000201A5">
      <w:pPr>
        <w:pStyle w:val="aa"/>
      </w:pPr>
      <w:r>
        <w:rPr>
          <w:rStyle w:val="ac"/>
        </w:rPr>
        <w:footnoteRef/>
      </w:r>
      <w:r>
        <w:t xml:space="preserve"> </w:t>
      </w:r>
      <w:r w:rsidRPr="00953104">
        <w:rPr>
          <w:rFonts w:ascii="Arial" w:hAnsi="Arial" w:cs="Arial"/>
          <w:sz w:val="18"/>
          <w:szCs w:val="18"/>
        </w:rPr>
        <w:t xml:space="preserve">M. L. Breslin and S. Yee, ‘Disability Rights Law and Policy’ (2002); A. Lawson and C. Gooding, ‘Disability Rights in Europe’ (2005); L. </w:t>
      </w:r>
      <w:proofErr w:type="spellStart"/>
      <w:r w:rsidRPr="00953104">
        <w:rPr>
          <w:rFonts w:ascii="Arial" w:hAnsi="Arial" w:cs="Arial"/>
          <w:sz w:val="18"/>
          <w:szCs w:val="18"/>
        </w:rPr>
        <w:t>Vanhala</w:t>
      </w:r>
      <w:proofErr w:type="spellEnd"/>
      <w:r w:rsidRPr="00953104">
        <w:rPr>
          <w:rFonts w:ascii="Arial" w:hAnsi="Arial" w:cs="Arial"/>
          <w:sz w:val="18"/>
          <w:szCs w:val="18"/>
        </w:rPr>
        <w:t xml:space="preserve">, ‘Making rights a reality?’ (2011). </w:t>
      </w:r>
    </w:p>
  </w:footnote>
  <w:footnote w:id="38">
    <w:p w:rsidR="000201A5" w:rsidRDefault="000201A5">
      <w:pPr>
        <w:pStyle w:val="aa"/>
      </w:pPr>
      <w:r>
        <w:rPr>
          <w:rStyle w:val="ac"/>
        </w:rPr>
        <w:footnoteRef/>
      </w:r>
      <w:r>
        <w:t xml:space="preserve"> </w:t>
      </w:r>
      <w:proofErr w:type="spellStart"/>
      <w:r w:rsidRPr="00E049EA">
        <w:rPr>
          <w:rFonts w:ascii="Arial" w:hAnsi="Arial" w:cs="Arial"/>
          <w:sz w:val="18"/>
          <w:szCs w:val="18"/>
        </w:rPr>
        <w:t>Hvinden</w:t>
      </w:r>
      <w:proofErr w:type="spellEnd"/>
      <w:r w:rsidRPr="00E049EA">
        <w:rPr>
          <w:rFonts w:ascii="Arial" w:hAnsi="Arial" w:cs="Arial"/>
          <w:sz w:val="18"/>
          <w:szCs w:val="18"/>
        </w:rPr>
        <w:t>, ‘Redistributive and Regulatory Disability Provision: Incompatibility or Synergy?’, in G. Quinn and L. Waddington (eds), European Yearbook of Disability Law (2009).</w:t>
      </w:r>
    </w:p>
  </w:footnote>
  <w:footnote w:id="39">
    <w:p w:rsidR="000201A5" w:rsidRDefault="000201A5">
      <w:pPr>
        <w:pStyle w:val="aa"/>
      </w:pPr>
      <w:r>
        <w:rPr>
          <w:rStyle w:val="ac"/>
        </w:rPr>
        <w:footnoteRef/>
      </w:r>
      <w:r>
        <w:t xml:space="preserve"> </w:t>
      </w:r>
      <w:proofErr w:type="spellStart"/>
      <w:r w:rsidRPr="00953104">
        <w:rPr>
          <w:rFonts w:ascii="Arial" w:hAnsi="Arial" w:cs="Arial"/>
          <w:sz w:val="18"/>
          <w:szCs w:val="18"/>
        </w:rPr>
        <w:t>Degener</w:t>
      </w:r>
      <w:proofErr w:type="spellEnd"/>
      <w:r w:rsidRPr="00953104">
        <w:rPr>
          <w:rFonts w:ascii="Arial" w:hAnsi="Arial" w:cs="Arial"/>
          <w:sz w:val="18"/>
          <w:szCs w:val="18"/>
        </w:rPr>
        <w:t xml:space="preserve">, ‘Personal Assistance services and laws: a commentary’, in Rehabilitation International/World Institute on Disability (eds), International Symposium on Personal Assistance models (1991); A. Power, J. E. Lord and A. S. </w:t>
      </w:r>
      <w:proofErr w:type="spellStart"/>
      <w:r w:rsidRPr="00953104">
        <w:rPr>
          <w:rFonts w:ascii="Arial" w:hAnsi="Arial" w:cs="Arial"/>
          <w:sz w:val="18"/>
          <w:szCs w:val="18"/>
        </w:rPr>
        <w:t>DeFranco</w:t>
      </w:r>
      <w:proofErr w:type="spellEnd"/>
      <w:r w:rsidRPr="00953104">
        <w:rPr>
          <w:rFonts w:ascii="Arial" w:hAnsi="Arial" w:cs="Arial"/>
          <w:sz w:val="18"/>
          <w:szCs w:val="18"/>
        </w:rPr>
        <w:t xml:space="preserve">, ‘Active citizenship and disability (2013); R. </w:t>
      </w:r>
      <w:proofErr w:type="spellStart"/>
      <w:r w:rsidRPr="00953104">
        <w:rPr>
          <w:rFonts w:ascii="Arial" w:hAnsi="Arial" w:cs="Arial"/>
          <w:sz w:val="18"/>
          <w:szCs w:val="18"/>
        </w:rPr>
        <w:t>Townsley</w:t>
      </w:r>
      <w:proofErr w:type="spellEnd"/>
      <w:r w:rsidRPr="00953104">
        <w:rPr>
          <w:rFonts w:ascii="Arial" w:hAnsi="Arial" w:cs="Arial"/>
          <w:sz w:val="18"/>
          <w:szCs w:val="18"/>
        </w:rPr>
        <w:t>, ‘The Implementation of Policies Supporting Independent Living for Disabled People in Europe’ (2010).</w:t>
      </w:r>
    </w:p>
  </w:footnote>
  <w:footnote w:id="40">
    <w:p w:rsidR="000201A5" w:rsidRDefault="000201A5">
      <w:pPr>
        <w:pStyle w:val="aa"/>
      </w:pPr>
      <w:r>
        <w:rPr>
          <w:rStyle w:val="ac"/>
        </w:rPr>
        <w:footnoteRef/>
      </w:r>
      <w:r>
        <w:t xml:space="preserve"> </w:t>
      </w:r>
      <w:r w:rsidRPr="00953104">
        <w:rPr>
          <w:rFonts w:ascii="Arial" w:hAnsi="Arial" w:cs="Arial"/>
          <w:sz w:val="18"/>
          <w:szCs w:val="18"/>
        </w:rPr>
        <w:t>For an illustrative account of the political history of human rights, see R. Normand and S. Zaidi, ‘Human rights at the UN’ (2008).</w:t>
      </w:r>
    </w:p>
  </w:footnote>
  <w:footnote w:id="41">
    <w:p w:rsidR="000201A5" w:rsidRDefault="000201A5">
      <w:pPr>
        <w:pStyle w:val="aa"/>
      </w:pPr>
      <w:r>
        <w:rPr>
          <w:rStyle w:val="ac"/>
        </w:rPr>
        <w:footnoteRef/>
      </w:r>
      <w:r>
        <w:t xml:space="preserve"> </w:t>
      </w:r>
      <w:r w:rsidRPr="00953104">
        <w:rPr>
          <w:rFonts w:ascii="Arial" w:hAnsi="Arial" w:cs="Arial"/>
          <w:sz w:val="18"/>
          <w:szCs w:val="18"/>
        </w:rPr>
        <w:t>Statement by Mr. Ivan Simonovic, Assistant Secretary-General. Deposit of the 10th instrument of ratification of the OP-IESR New York, 5 February 2013, at: www2.ohchr.org/english/bodies/cescr/index.htm (last visited 4 March 2013).</w:t>
      </w:r>
    </w:p>
  </w:footnote>
  <w:footnote w:id="42">
    <w:p w:rsidR="000201A5" w:rsidRDefault="000201A5">
      <w:pPr>
        <w:pStyle w:val="aa"/>
      </w:pPr>
      <w:r>
        <w:rPr>
          <w:rStyle w:val="ac"/>
        </w:rPr>
        <w:footnoteRef/>
      </w:r>
      <w:r>
        <w:t xml:space="preserve"> </w:t>
      </w:r>
      <w:r w:rsidRPr="00953104">
        <w:rPr>
          <w:rFonts w:ascii="Arial" w:hAnsi="Arial" w:cs="Arial"/>
          <w:sz w:val="18"/>
          <w:szCs w:val="18"/>
        </w:rPr>
        <w:t xml:space="preserve">Vienna Declaration and </w:t>
      </w:r>
      <w:proofErr w:type="spellStart"/>
      <w:r w:rsidRPr="00953104">
        <w:rPr>
          <w:rFonts w:ascii="Arial" w:hAnsi="Arial" w:cs="Arial"/>
          <w:sz w:val="18"/>
          <w:szCs w:val="18"/>
        </w:rPr>
        <w:t>Programme</w:t>
      </w:r>
      <w:proofErr w:type="spellEnd"/>
      <w:r w:rsidRPr="00953104">
        <w:rPr>
          <w:rFonts w:ascii="Arial" w:hAnsi="Arial" w:cs="Arial"/>
          <w:sz w:val="18"/>
          <w:szCs w:val="18"/>
        </w:rPr>
        <w:t xml:space="preserve"> of Action, A/CONF.157/23, 12 July 1993, at: http://www.unhcr.org/refworld/docid/3ae6b39ec.html (last visited 14 March 2013).</w:t>
      </w:r>
    </w:p>
  </w:footnote>
  <w:footnote w:id="43">
    <w:p w:rsidR="000201A5" w:rsidRDefault="000201A5">
      <w:pPr>
        <w:pStyle w:val="aa"/>
      </w:pPr>
      <w:r>
        <w:rPr>
          <w:rStyle w:val="ac"/>
        </w:rPr>
        <w:footnoteRef/>
      </w:r>
      <w:r>
        <w:t xml:space="preserve"> </w:t>
      </w:r>
      <w:r w:rsidRPr="00953104">
        <w:rPr>
          <w:rFonts w:ascii="Arial" w:hAnsi="Arial" w:cs="Arial"/>
          <w:sz w:val="18"/>
          <w:szCs w:val="18"/>
        </w:rPr>
        <w:t>Art. 12 CRPD.</w:t>
      </w:r>
    </w:p>
  </w:footnote>
  <w:footnote w:id="44">
    <w:p w:rsidR="000201A5" w:rsidRDefault="000201A5">
      <w:pPr>
        <w:pStyle w:val="aa"/>
      </w:pPr>
      <w:r>
        <w:rPr>
          <w:rStyle w:val="ac"/>
        </w:rPr>
        <w:footnoteRef/>
      </w:r>
      <w:r>
        <w:t xml:space="preserve"> </w:t>
      </w:r>
      <w:r w:rsidRPr="00953104">
        <w:rPr>
          <w:rFonts w:ascii="Arial" w:hAnsi="Arial" w:cs="Arial"/>
          <w:sz w:val="18"/>
          <w:szCs w:val="18"/>
        </w:rPr>
        <w:t>Art. 16 ICCPR, Art. 6 UDHR.</w:t>
      </w:r>
    </w:p>
  </w:footnote>
  <w:footnote w:id="45">
    <w:p w:rsidR="000201A5" w:rsidRDefault="000201A5">
      <w:pPr>
        <w:pStyle w:val="aa"/>
      </w:pPr>
      <w:r>
        <w:rPr>
          <w:rStyle w:val="ac"/>
        </w:rPr>
        <w:footnoteRef/>
      </w:r>
      <w:r>
        <w:t xml:space="preserve"> </w:t>
      </w:r>
      <w:r w:rsidRPr="00953104">
        <w:rPr>
          <w:rFonts w:ascii="Arial" w:hAnsi="Arial" w:cs="Arial"/>
          <w:sz w:val="18"/>
          <w:szCs w:val="18"/>
        </w:rPr>
        <w:t>Art. 19 CRPD.</w:t>
      </w:r>
    </w:p>
  </w:footnote>
  <w:footnote w:id="46">
    <w:p w:rsidR="000201A5" w:rsidRDefault="000201A5">
      <w:pPr>
        <w:pStyle w:val="aa"/>
      </w:pPr>
      <w:r>
        <w:rPr>
          <w:rStyle w:val="ac"/>
        </w:rPr>
        <w:footnoteRef/>
      </w:r>
      <w:r>
        <w:t xml:space="preserve"> </w:t>
      </w:r>
      <w:r w:rsidRPr="00953104">
        <w:rPr>
          <w:rFonts w:ascii="Arial" w:hAnsi="Arial" w:cs="Arial"/>
          <w:sz w:val="18"/>
          <w:szCs w:val="18"/>
        </w:rPr>
        <w:t>Which in some countries was part of the disability rights movement, in other countries it was not.</w:t>
      </w:r>
    </w:p>
  </w:footnote>
  <w:footnote w:id="47">
    <w:p w:rsidR="000201A5" w:rsidRDefault="000201A5">
      <w:pPr>
        <w:pStyle w:val="aa"/>
      </w:pPr>
      <w:r>
        <w:rPr>
          <w:rStyle w:val="ac"/>
        </w:rPr>
        <w:footnoteRef/>
      </w:r>
      <w:r>
        <w:t xml:space="preserve"> </w:t>
      </w:r>
      <w:r w:rsidRPr="00953104">
        <w:rPr>
          <w:rFonts w:ascii="Arial" w:hAnsi="Arial" w:cs="Arial"/>
          <w:sz w:val="18"/>
          <w:szCs w:val="18"/>
        </w:rPr>
        <w:t xml:space="preserve">T. </w:t>
      </w:r>
      <w:proofErr w:type="spellStart"/>
      <w:r w:rsidRPr="00953104">
        <w:rPr>
          <w:rFonts w:ascii="Arial" w:hAnsi="Arial" w:cs="Arial"/>
          <w:sz w:val="18"/>
          <w:szCs w:val="18"/>
        </w:rPr>
        <w:t>Degener</w:t>
      </w:r>
      <w:proofErr w:type="spellEnd"/>
      <w:r w:rsidRPr="00953104">
        <w:rPr>
          <w:rFonts w:ascii="Arial" w:hAnsi="Arial" w:cs="Arial"/>
          <w:sz w:val="18"/>
          <w:szCs w:val="18"/>
        </w:rPr>
        <w:t xml:space="preserve"> and Y. </w:t>
      </w:r>
      <w:proofErr w:type="spellStart"/>
      <w:r w:rsidRPr="00953104">
        <w:rPr>
          <w:rFonts w:ascii="Arial" w:hAnsi="Arial" w:cs="Arial"/>
          <w:sz w:val="18"/>
          <w:szCs w:val="18"/>
        </w:rPr>
        <w:t>Koster</w:t>
      </w:r>
      <w:proofErr w:type="spellEnd"/>
      <w:r w:rsidRPr="00953104">
        <w:rPr>
          <w:rFonts w:ascii="Arial" w:hAnsi="Arial" w:cs="Arial"/>
          <w:sz w:val="18"/>
          <w:szCs w:val="18"/>
        </w:rPr>
        <w:t>-Dreese, ‘Human rights and disabled persons: Essays and relevant human rights instruments’ (1995); C. Parker, ‘A Community For All: Implementing Article 19’ (2011); G. Quinn and S. Doyle, ‘Getting a Life’ (2012).</w:t>
      </w:r>
    </w:p>
  </w:footnote>
  <w:footnote w:id="48">
    <w:p w:rsidR="000201A5" w:rsidRDefault="000201A5">
      <w:pPr>
        <w:pStyle w:val="aa"/>
      </w:pPr>
      <w:r>
        <w:rPr>
          <w:rStyle w:val="ac"/>
        </w:rPr>
        <w:footnoteRef/>
      </w:r>
      <w:r>
        <w:t xml:space="preserve"> </w:t>
      </w:r>
      <w:r w:rsidRPr="00953104">
        <w:rPr>
          <w:rFonts w:ascii="Arial" w:hAnsi="Arial" w:cs="Arial"/>
          <w:sz w:val="18"/>
          <w:szCs w:val="18"/>
        </w:rPr>
        <w:t>Art. 13(1) UDHR: ‘Everyone has the right to freedom of movement and residence within the border of each State’. See also Art. 12(1) ICCPR, Art. 5(d), (</w:t>
      </w:r>
      <w:proofErr w:type="spellStart"/>
      <w:r w:rsidRPr="00953104">
        <w:rPr>
          <w:rFonts w:ascii="Arial" w:hAnsi="Arial" w:cs="Arial"/>
          <w:sz w:val="18"/>
          <w:szCs w:val="18"/>
        </w:rPr>
        <w:t>i</w:t>
      </w:r>
      <w:proofErr w:type="spellEnd"/>
      <w:r w:rsidRPr="00953104">
        <w:rPr>
          <w:rFonts w:ascii="Arial" w:hAnsi="Arial" w:cs="Arial"/>
          <w:sz w:val="18"/>
          <w:szCs w:val="18"/>
        </w:rPr>
        <w:t xml:space="preserve">) CERD, Art. 15(4) CEDAW. </w:t>
      </w:r>
    </w:p>
  </w:footnote>
  <w:footnote w:id="49">
    <w:p w:rsidR="000201A5" w:rsidRDefault="000201A5">
      <w:pPr>
        <w:pStyle w:val="aa"/>
      </w:pPr>
      <w:r>
        <w:rPr>
          <w:rStyle w:val="ac"/>
        </w:rPr>
        <w:footnoteRef/>
      </w:r>
      <w:r>
        <w:t xml:space="preserve"> </w:t>
      </w:r>
      <w:r w:rsidRPr="00953104">
        <w:rPr>
          <w:rFonts w:ascii="Arial" w:hAnsi="Arial" w:cs="Arial"/>
          <w:sz w:val="18"/>
          <w:szCs w:val="18"/>
        </w:rPr>
        <w:t>49 Art. 11 ICESCR.</w:t>
      </w:r>
    </w:p>
  </w:footnote>
  <w:footnote w:id="50">
    <w:p w:rsidR="000201A5" w:rsidRDefault="000201A5">
      <w:pPr>
        <w:pStyle w:val="aa"/>
      </w:pPr>
      <w:r>
        <w:rPr>
          <w:rStyle w:val="ac"/>
        </w:rPr>
        <w:footnoteRef/>
      </w:r>
      <w:r>
        <w:t xml:space="preserve"> </w:t>
      </w:r>
      <w:r w:rsidRPr="00953104">
        <w:rPr>
          <w:rFonts w:ascii="Arial" w:hAnsi="Arial" w:cs="Arial"/>
          <w:sz w:val="18"/>
          <w:szCs w:val="18"/>
        </w:rPr>
        <w:t>CESCR General Comment No 5 para 33.</w:t>
      </w:r>
    </w:p>
  </w:footnote>
  <w:footnote w:id="51">
    <w:p w:rsidR="000201A5" w:rsidRDefault="000201A5">
      <w:pPr>
        <w:pStyle w:val="aa"/>
      </w:pPr>
      <w:r>
        <w:rPr>
          <w:rStyle w:val="ac"/>
        </w:rPr>
        <w:footnoteRef/>
      </w:r>
      <w:r w:rsidRPr="00953104">
        <w:rPr>
          <w:rFonts w:ascii="Arial" w:hAnsi="Arial" w:cs="Arial"/>
          <w:sz w:val="18"/>
          <w:szCs w:val="18"/>
        </w:rPr>
        <w:t xml:space="preserve"> For example: R. </w:t>
      </w:r>
      <w:proofErr w:type="spellStart"/>
      <w:r w:rsidRPr="00953104">
        <w:rPr>
          <w:rFonts w:ascii="Arial" w:hAnsi="Arial" w:cs="Arial"/>
          <w:sz w:val="18"/>
          <w:szCs w:val="18"/>
        </w:rPr>
        <w:t>Townsley</w:t>
      </w:r>
      <w:proofErr w:type="spellEnd"/>
      <w:r w:rsidRPr="00953104">
        <w:rPr>
          <w:rFonts w:ascii="Arial" w:hAnsi="Arial" w:cs="Arial"/>
          <w:sz w:val="18"/>
          <w:szCs w:val="18"/>
        </w:rPr>
        <w:t>, supra note 39; G. Quinn and S. Doyle, supra note 47; C. Parker, supra note 47; J. Mansell et al., ‘Deinstitutionalization and community living’ (2007); FRA European Union Agency for Fundamental Rights, ‘Choice and control: the right to independent living’ (2012).</w:t>
      </w:r>
    </w:p>
  </w:footnote>
  <w:footnote w:id="52">
    <w:p w:rsidR="000201A5" w:rsidRDefault="000201A5">
      <w:pPr>
        <w:pStyle w:val="aa"/>
      </w:pPr>
      <w:r>
        <w:rPr>
          <w:rStyle w:val="ac"/>
        </w:rPr>
        <w:footnoteRef/>
      </w:r>
      <w:r>
        <w:t xml:space="preserve"> </w:t>
      </w:r>
      <w:r w:rsidRPr="00953104">
        <w:rPr>
          <w:rFonts w:ascii="Arial" w:hAnsi="Arial" w:cs="Arial"/>
          <w:sz w:val="18"/>
          <w:szCs w:val="18"/>
        </w:rPr>
        <w:t>C. Parker, supra note 47; G. Quinn and S. Doyle, supra note 47.</w:t>
      </w:r>
    </w:p>
  </w:footnote>
  <w:footnote w:id="53">
    <w:p w:rsidR="000201A5" w:rsidRDefault="000201A5">
      <w:pPr>
        <w:pStyle w:val="aa"/>
      </w:pPr>
      <w:r>
        <w:rPr>
          <w:rStyle w:val="ac"/>
        </w:rPr>
        <w:footnoteRef/>
      </w:r>
      <w:r>
        <w:t xml:space="preserve"> </w:t>
      </w:r>
      <w:r w:rsidRPr="00953104">
        <w:rPr>
          <w:rFonts w:ascii="Arial" w:hAnsi="Arial" w:cs="Arial"/>
          <w:sz w:val="18"/>
          <w:szCs w:val="18"/>
        </w:rPr>
        <w:t xml:space="preserve">T. </w:t>
      </w:r>
      <w:proofErr w:type="spellStart"/>
      <w:r w:rsidRPr="00953104">
        <w:rPr>
          <w:rFonts w:ascii="Arial" w:hAnsi="Arial" w:cs="Arial"/>
          <w:sz w:val="18"/>
          <w:szCs w:val="18"/>
        </w:rPr>
        <w:t>Hammarberg</w:t>
      </w:r>
      <w:proofErr w:type="spellEnd"/>
      <w:r w:rsidRPr="00953104">
        <w:rPr>
          <w:rFonts w:ascii="Arial" w:hAnsi="Arial" w:cs="Arial"/>
          <w:sz w:val="18"/>
          <w:szCs w:val="18"/>
        </w:rPr>
        <w:t>, ‘The right of people with disabilities to live independently and be included in the community’ (June 2012), at 11.</w:t>
      </w:r>
    </w:p>
  </w:footnote>
  <w:footnote w:id="54">
    <w:p w:rsidR="000201A5" w:rsidRDefault="000201A5">
      <w:pPr>
        <w:pStyle w:val="aa"/>
      </w:pPr>
      <w:r>
        <w:rPr>
          <w:rStyle w:val="ac"/>
        </w:rPr>
        <w:footnoteRef/>
      </w:r>
      <w:r>
        <w:t xml:space="preserve"> </w:t>
      </w:r>
      <w:r w:rsidRPr="00953104">
        <w:rPr>
          <w:rFonts w:ascii="Arial" w:hAnsi="Arial" w:cs="Arial"/>
          <w:sz w:val="18"/>
          <w:szCs w:val="18"/>
        </w:rPr>
        <w:t>Art. 4(2) CRPD reads: ‘With regard to economic, social and cultural rights, each State Party undertakes to take measures to the maximum of its available resources and, where needed, within the framework of international cooperation, with a view to achieving progressively the full realization of these rights, without prejudice to those obligations contained in the present Convention that are immediately applicable according to international law.’</w:t>
      </w:r>
    </w:p>
  </w:footnote>
  <w:footnote w:id="55">
    <w:p w:rsidR="000201A5" w:rsidRDefault="000201A5">
      <w:pPr>
        <w:pStyle w:val="aa"/>
      </w:pPr>
      <w:r>
        <w:rPr>
          <w:rStyle w:val="ac"/>
        </w:rPr>
        <w:footnoteRef/>
      </w:r>
      <w:r>
        <w:t xml:space="preserve"> </w:t>
      </w:r>
      <w:r w:rsidRPr="00953104">
        <w:rPr>
          <w:rFonts w:ascii="Arial" w:hAnsi="Arial" w:cs="Arial"/>
          <w:sz w:val="18"/>
          <w:szCs w:val="18"/>
        </w:rPr>
        <w:t>J. Morris, ‘Pride Against Prejudice’ (1991), at 10 (emphasis in the original).</w:t>
      </w:r>
    </w:p>
  </w:footnote>
  <w:footnote w:id="56">
    <w:p w:rsidR="000201A5" w:rsidRDefault="000201A5">
      <w:pPr>
        <w:pStyle w:val="aa"/>
      </w:pPr>
      <w:r>
        <w:rPr>
          <w:rStyle w:val="ac"/>
        </w:rPr>
        <w:footnoteRef/>
      </w:r>
      <w:r>
        <w:t xml:space="preserve"> </w:t>
      </w:r>
      <w:r w:rsidRPr="00953104">
        <w:rPr>
          <w:rFonts w:ascii="Arial" w:hAnsi="Arial" w:cs="Arial"/>
          <w:sz w:val="18"/>
          <w:szCs w:val="18"/>
        </w:rPr>
        <w:t>Morris, ‘Impairment and disability: constructing an ethics of care which promotes human rights’, 4 Hypatia (2001), at17.</w:t>
      </w:r>
    </w:p>
  </w:footnote>
  <w:footnote w:id="57">
    <w:p w:rsidR="000201A5" w:rsidRDefault="000201A5">
      <w:pPr>
        <w:pStyle w:val="aa"/>
      </w:pPr>
      <w:r>
        <w:rPr>
          <w:rStyle w:val="ac"/>
        </w:rPr>
        <w:footnoteRef/>
      </w:r>
      <w:r>
        <w:t xml:space="preserve"> </w:t>
      </w:r>
      <w:r w:rsidRPr="00953104">
        <w:rPr>
          <w:rFonts w:ascii="Arial" w:hAnsi="Arial" w:cs="Arial"/>
          <w:sz w:val="18"/>
          <w:szCs w:val="18"/>
        </w:rPr>
        <w:t>M. Corker and S. French, ‘Disability Discourse’ (1999), at 6.</w:t>
      </w:r>
    </w:p>
  </w:footnote>
  <w:footnote w:id="58">
    <w:p w:rsidR="000201A5" w:rsidRDefault="000201A5">
      <w:pPr>
        <w:pStyle w:val="aa"/>
      </w:pPr>
      <w:r>
        <w:rPr>
          <w:rStyle w:val="ac"/>
        </w:rPr>
        <w:footnoteRef/>
      </w:r>
      <w:r>
        <w:t xml:space="preserve"> </w:t>
      </w:r>
      <w:r w:rsidRPr="00953104">
        <w:rPr>
          <w:rFonts w:ascii="Arial" w:hAnsi="Arial" w:cs="Arial"/>
          <w:sz w:val="18"/>
          <w:szCs w:val="18"/>
        </w:rPr>
        <w:t>Hughes and Paterson, ‘The Social Model of Disability and the Disappearing Body: Towards a sociology of impairment’, 3 Disability &amp; Society (1997).</w:t>
      </w:r>
    </w:p>
  </w:footnote>
  <w:footnote w:id="59">
    <w:p w:rsidR="000201A5" w:rsidRDefault="000201A5">
      <w:pPr>
        <w:pStyle w:val="aa"/>
      </w:pPr>
      <w:r>
        <w:rPr>
          <w:rStyle w:val="ac"/>
        </w:rPr>
        <w:footnoteRef/>
      </w:r>
      <w:r>
        <w:t xml:space="preserve"> </w:t>
      </w:r>
      <w:r w:rsidRPr="00953104">
        <w:rPr>
          <w:rFonts w:ascii="Arial" w:hAnsi="Arial" w:cs="Arial"/>
          <w:sz w:val="18"/>
          <w:szCs w:val="18"/>
        </w:rPr>
        <w:t>T. Shakespeare, ‘Disability rights and wrongs revisited’ (2014), at 72–91.</w:t>
      </w:r>
    </w:p>
  </w:footnote>
  <w:footnote w:id="60">
    <w:p w:rsidR="000201A5" w:rsidRDefault="000201A5">
      <w:pPr>
        <w:pStyle w:val="aa"/>
      </w:pPr>
      <w:r>
        <w:rPr>
          <w:rStyle w:val="ac"/>
        </w:rPr>
        <w:footnoteRef/>
      </w:r>
      <w:r>
        <w:t xml:space="preserve"> </w:t>
      </w:r>
      <w:r w:rsidRPr="00953104">
        <w:rPr>
          <w:rFonts w:ascii="Arial" w:hAnsi="Arial" w:cs="Arial"/>
          <w:sz w:val="18"/>
          <w:szCs w:val="18"/>
        </w:rPr>
        <w:t>M. Oliver, supra note 22, at 38.</w:t>
      </w:r>
    </w:p>
  </w:footnote>
  <w:footnote w:id="61">
    <w:p w:rsidR="000201A5" w:rsidRDefault="000201A5">
      <w:pPr>
        <w:pStyle w:val="aa"/>
      </w:pPr>
      <w:r>
        <w:rPr>
          <w:rStyle w:val="ac"/>
        </w:rPr>
        <w:footnoteRef/>
      </w:r>
      <w:r>
        <w:t xml:space="preserve"> </w:t>
      </w:r>
      <w:r w:rsidRPr="00953104">
        <w:rPr>
          <w:rFonts w:ascii="Arial" w:hAnsi="Arial" w:cs="Arial"/>
          <w:sz w:val="18"/>
          <w:szCs w:val="18"/>
        </w:rPr>
        <w:t>M. Oliver, supra note 22, at 42.</w:t>
      </w:r>
    </w:p>
  </w:footnote>
  <w:footnote w:id="62">
    <w:p w:rsidR="000201A5" w:rsidRDefault="000201A5">
      <w:pPr>
        <w:pStyle w:val="aa"/>
      </w:pPr>
      <w:r>
        <w:rPr>
          <w:rStyle w:val="ac"/>
        </w:rPr>
        <w:footnoteRef/>
      </w:r>
      <w:r>
        <w:t xml:space="preserve"> </w:t>
      </w:r>
      <w:r w:rsidRPr="00953104">
        <w:rPr>
          <w:rFonts w:ascii="Arial" w:hAnsi="Arial" w:cs="Arial"/>
          <w:sz w:val="18"/>
          <w:szCs w:val="18"/>
        </w:rPr>
        <w:t>Preamble para j) CRPD.</w:t>
      </w:r>
    </w:p>
  </w:footnote>
  <w:footnote w:id="63">
    <w:p w:rsidR="000201A5" w:rsidRDefault="000201A5" w:rsidP="00204D5B">
      <w:pPr>
        <w:pStyle w:val="aa"/>
      </w:pPr>
      <w:r>
        <w:rPr>
          <w:rStyle w:val="ac"/>
        </w:rPr>
        <w:footnoteRef/>
      </w:r>
      <w:r>
        <w:t xml:space="preserve"> </w:t>
      </w:r>
      <w:r w:rsidRPr="00953104">
        <w:rPr>
          <w:rFonts w:ascii="Arial" w:hAnsi="Arial" w:cs="Arial"/>
          <w:sz w:val="18"/>
          <w:szCs w:val="18"/>
        </w:rPr>
        <w:t xml:space="preserve">Petersen, ‘Human Dignity, International Protection’, in R. </w:t>
      </w:r>
      <w:proofErr w:type="spellStart"/>
      <w:r w:rsidRPr="00953104">
        <w:rPr>
          <w:rFonts w:ascii="Arial" w:hAnsi="Arial" w:cs="Arial"/>
          <w:sz w:val="18"/>
          <w:szCs w:val="18"/>
        </w:rPr>
        <w:t>Wolfrum</w:t>
      </w:r>
      <w:proofErr w:type="spellEnd"/>
      <w:r w:rsidRPr="00953104">
        <w:rPr>
          <w:rFonts w:ascii="Arial" w:hAnsi="Arial" w:cs="Arial"/>
          <w:sz w:val="18"/>
          <w:szCs w:val="18"/>
        </w:rPr>
        <w:t xml:space="preserve"> (</w:t>
      </w:r>
      <w:proofErr w:type="spellStart"/>
      <w:r w:rsidRPr="00953104">
        <w:rPr>
          <w:rFonts w:ascii="Arial" w:hAnsi="Arial" w:cs="Arial"/>
          <w:sz w:val="18"/>
          <w:szCs w:val="18"/>
        </w:rPr>
        <w:t>ed</w:t>
      </w:r>
      <w:proofErr w:type="spellEnd"/>
      <w:r w:rsidRPr="00953104">
        <w:rPr>
          <w:rFonts w:ascii="Arial" w:hAnsi="Arial" w:cs="Arial"/>
          <w:sz w:val="18"/>
          <w:szCs w:val="18"/>
        </w:rPr>
        <w:t xml:space="preserve">), The Max Planck </w:t>
      </w:r>
      <w:proofErr w:type="spellStart"/>
      <w:r w:rsidRPr="00953104">
        <w:rPr>
          <w:rFonts w:ascii="Arial" w:hAnsi="Arial" w:cs="Arial"/>
          <w:sz w:val="18"/>
          <w:szCs w:val="18"/>
        </w:rPr>
        <w:t>encyclopaedia</w:t>
      </w:r>
      <w:proofErr w:type="spellEnd"/>
      <w:r w:rsidRPr="00953104">
        <w:rPr>
          <w:rFonts w:ascii="Arial" w:hAnsi="Arial" w:cs="Arial"/>
          <w:sz w:val="18"/>
          <w:szCs w:val="18"/>
        </w:rPr>
        <w:t xml:space="preserve"> of public international law (2012).</w:t>
      </w:r>
    </w:p>
  </w:footnote>
  <w:footnote w:id="64">
    <w:p w:rsidR="000201A5" w:rsidRDefault="000201A5">
      <w:pPr>
        <w:pStyle w:val="aa"/>
      </w:pPr>
      <w:r>
        <w:rPr>
          <w:rStyle w:val="ac"/>
        </w:rPr>
        <w:footnoteRef/>
      </w:r>
      <w:r>
        <w:t xml:space="preserve"> </w:t>
      </w:r>
      <w:r w:rsidRPr="00953104">
        <w:rPr>
          <w:rFonts w:ascii="Arial" w:hAnsi="Arial" w:cs="Arial"/>
          <w:sz w:val="18"/>
          <w:szCs w:val="18"/>
        </w:rPr>
        <w:t>Art. (1), (3)(a) CRPD.</w:t>
      </w:r>
    </w:p>
  </w:footnote>
  <w:footnote w:id="65">
    <w:p w:rsidR="000201A5" w:rsidRDefault="000201A5">
      <w:pPr>
        <w:pStyle w:val="aa"/>
      </w:pPr>
      <w:r>
        <w:rPr>
          <w:rStyle w:val="ac"/>
        </w:rPr>
        <w:footnoteRef/>
      </w:r>
      <w:r>
        <w:t xml:space="preserve"> </w:t>
      </w:r>
      <w:r w:rsidRPr="00953104">
        <w:rPr>
          <w:rFonts w:ascii="Arial" w:hAnsi="Arial" w:cs="Arial"/>
          <w:sz w:val="18"/>
          <w:szCs w:val="18"/>
        </w:rPr>
        <w:t>Preamble para h) CRPD.</w:t>
      </w:r>
    </w:p>
  </w:footnote>
  <w:footnote w:id="66">
    <w:p w:rsidR="000201A5" w:rsidRDefault="000201A5">
      <w:pPr>
        <w:pStyle w:val="aa"/>
      </w:pPr>
      <w:r>
        <w:rPr>
          <w:rStyle w:val="ac"/>
        </w:rPr>
        <w:footnoteRef/>
      </w:r>
      <w:r>
        <w:t xml:space="preserve"> </w:t>
      </w:r>
      <w:r w:rsidRPr="00953104">
        <w:rPr>
          <w:rFonts w:ascii="Arial" w:hAnsi="Arial" w:cs="Arial"/>
          <w:sz w:val="18"/>
          <w:szCs w:val="18"/>
        </w:rPr>
        <w:t>Art. 8(1) (a) CRPD.</w:t>
      </w:r>
    </w:p>
  </w:footnote>
  <w:footnote w:id="67">
    <w:p w:rsidR="000201A5" w:rsidRDefault="000201A5">
      <w:pPr>
        <w:pStyle w:val="aa"/>
      </w:pPr>
      <w:r>
        <w:rPr>
          <w:rStyle w:val="ac"/>
        </w:rPr>
        <w:footnoteRef/>
      </w:r>
      <w:r>
        <w:t xml:space="preserve"> </w:t>
      </w:r>
      <w:r w:rsidRPr="00953104">
        <w:rPr>
          <w:rFonts w:ascii="Arial" w:hAnsi="Arial" w:cs="Arial"/>
          <w:sz w:val="18"/>
          <w:szCs w:val="18"/>
        </w:rPr>
        <w:t>Art. 16(4) CRPD.</w:t>
      </w:r>
    </w:p>
  </w:footnote>
  <w:footnote w:id="68">
    <w:p w:rsidR="000201A5" w:rsidRDefault="000201A5">
      <w:pPr>
        <w:pStyle w:val="aa"/>
      </w:pPr>
      <w:r>
        <w:rPr>
          <w:rStyle w:val="ac"/>
        </w:rPr>
        <w:footnoteRef/>
      </w:r>
      <w:r>
        <w:t xml:space="preserve"> </w:t>
      </w:r>
      <w:r w:rsidRPr="00953104">
        <w:rPr>
          <w:rFonts w:ascii="Arial" w:hAnsi="Arial" w:cs="Arial"/>
          <w:sz w:val="18"/>
          <w:szCs w:val="18"/>
        </w:rPr>
        <w:t>Art. 24(1)(a) CRPD.</w:t>
      </w:r>
    </w:p>
  </w:footnote>
  <w:footnote w:id="69">
    <w:p w:rsidR="000201A5" w:rsidRDefault="000201A5">
      <w:pPr>
        <w:pStyle w:val="aa"/>
      </w:pPr>
      <w:r>
        <w:rPr>
          <w:rStyle w:val="ac"/>
        </w:rPr>
        <w:footnoteRef/>
      </w:r>
      <w:r>
        <w:t xml:space="preserve"> </w:t>
      </w:r>
      <w:r w:rsidRPr="00953104">
        <w:rPr>
          <w:rFonts w:ascii="Arial" w:hAnsi="Arial" w:cs="Arial"/>
          <w:sz w:val="18"/>
          <w:szCs w:val="18"/>
        </w:rPr>
        <w:t>Art. 25(d) CRPD.</w:t>
      </w:r>
    </w:p>
  </w:footnote>
  <w:footnote w:id="70">
    <w:p w:rsidR="000201A5" w:rsidRDefault="000201A5" w:rsidP="00204D5B">
      <w:pPr>
        <w:pStyle w:val="aa"/>
      </w:pPr>
      <w:r>
        <w:rPr>
          <w:rStyle w:val="ac"/>
        </w:rPr>
        <w:footnoteRef/>
      </w:r>
      <w:r>
        <w:t xml:space="preserve"> </w:t>
      </w:r>
      <w:r w:rsidRPr="00953104">
        <w:rPr>
          <w:rFonts w:ascii="Arial" w:hAnsi="Arial" w:cs="Arial"/>
          <w:sz w:val="18"/>
          <w:szCs w:val="18"/>
        </w:rPr>
        <w:t>Preamble para a) CRPD.</w:t>
      </w:r>
    </w:p>
  </w:footnote>
  <w:footnote w:id="71">
    <w:p w:rsidR="000201A5" w:rsidRDefault="000201A5">
      <w:pPr>
        <w:pStyle w:val="aa"/>
      </w:pPr>
      <w:r>
        <w:rPr>
          <w:rStyle w:val="ac"/>
        </w:rPr>
        <w:footnoteRef/>
      </w:r>
      <w:r>
        <w:t xml:space="preserve"> </w:t>
      </w:r>
      <w:r w:rsidR="000E2526" w:rsidRPr="00953104">
        <w:rPr>
          <w:rFonts w:ascii="Arial" w:hAnsi="Arial" w:cs="Arial"/>
          <w:sz w:val="18"/>
          <w:szCs w:val="18"/>
        </w:rPr>
        <w:t xml:space="preserve">G. Quinn and T. </w:t>
      </w:r>
      <w:proofErr w:type="spellStart"/>
      <w:r w:rsidR="000E2526" w:rsidRPr="00953104">
        <w:rPr>
          <w:rFonts w:ascii="Arial" w:hAnsi="Arial" w:cs="Arial"/>
          <w:sz w:val="18"/>
          <w:szCs w:val="18"/>
        </w:rPr>
        <w:t>Degener</w:t>
      </w:r>
      <w:proofErr w:type="spellEnd"/>
      <w:r w:rsidR="000E2526" w:rsidRPr="00953104">
        <w:rPr>
          <w:rFonts w:ascii="Arial" w:hAnsi="Arial" w:cs="Arial"/>
          <w:sz w:val="18"/>
          <w:szCs w:val="18"/>
        </w:rPr>
        <w:t>, supra note 20, at 14.</w:t>
      </w:r>
    </w:p>
  </w:footnote>
  <w:footnote w:id="72">
    <w:p w:rsidR="000201A5" w:rsidRDefault="000201A5">
      <w:pPr>
        <w:pStyle w:val="aa"/>
      </w:pPr>
      <w:r>
        <w:rPr>
          <w:rStyle w:val="ac"/>
        </w:rPr>
        <w:footnoteRef/>
      </w:r>
      <w:r>
        <w:t xml:space="preserve"> </w:t>
      </w:r>
      <w:r w:rsidR="000E2526" w:rsidRPr="00953104">
        <w:rPr>
          <w:rFonts w:ascii="Arial" w:hAnsi="Arial" w:cs="Arial"/>
          <w:sz w:val="18"/>
          <w:szCs w:val="18"/>
        </w:rPr>
        <w:t>R. Dworkin, ‘Taking rights seriously’ (1978).</w:t>
      </w:r>
    </w:p>
  </w:footnote>
  <w:footnote w:id="73">
    <w:p w:rsidR="000201A5" w:rsidRDefault="000201A5">
      <w:pPr>
        <w:pStyle w:val="aa"/>
      </w:pPr>
      <w:r>
        <w:rPr>
          <w:rStyle w:val="ac"/>
        </w:rPr>
        <w:footnoteRef/>
      </w:r>
      <w:r>
        <w:t xml:space="preserve"> </w:t>
      </w:r>
      <w:proofErr w:type="spellStart"/>
      <w:r w:rsidR="000E2526" w:rsidRPr="00953104">
        <w:rPr>
          <w:rFonts w:ascii="Arial" w:hAnsi="Arial" w:cs="Arial"/>
          <w:sz w:val="18"/>
          <w:szCs w:val="18"/>
        </w:rPr>
        <w:t>Basser</w:t>
      </w:r>
      <w:proofErr w:type="spellEnd"/>
      <w:r w:rsidR="000E2526" w:rsidRPr="00953104">
        <w:rPr>
          <w:rFonts w:ascii="Arial" w:hAnsi="Arial" w:cs="Arial"/>
          <w:sz w:val="18"/>
          <w:szCs w:val="18"/>
        </w:rPr>
        <w:t xml:space="preserve">, ‘Human Dignity’, in M. H. </w:t>
      </w:r>
      <w:proofErr w:type="spellStart"/>
      <w:r w:rsidR="000E2526" w:rsidRPr="00953104">
        <w:rPr>
          <w:rFonts w:ascii="Arial" w:hAnsi="Arial" w:cs="Arial"/>
          <w:sz w:val="18"/>
          <w:szCs w:val="18"/>
        </w:rPr>
        <w:t>Rioux</w:t>
      </w:r>
      <w:proofErr w:type="spellEnd"/>
      <w:r w:rsidR="000E2526" w:rsidRPr="00953104">
        <w:rPr>
          <w:rFonts w:ascii="Arial" w:hAnsi="Arial" w:cs="Arial"/>
          <w:sz w:val="18"/>
          <w:szCs w:val="18"/>
        </w:rPr>
        <w:t xml:space="preserve">, L. A. </w:t>
      </w:r>
      <w:proofErr w:type="spellStart"/>
      <w:r w:rsidR="000E2526" w:rsidRPr="00953104">
        <w:rPr>
          <w:rFonts w:ascii="Arial" w:hAnsi="Arial" w:cs="Arial"/>
          <w:sz w:val="18"/>
          <w:szCs w:val="18"/>
        </w:rPr>
        <w:t>Basser</w:t>
      </w:r>
      <w:proofErr w:type="spellEnd"/>
      <w:r w:rsidR="000E2526" w:rsidRPr="00953104">
        <w:rPr>
          <w:rFonts w:ascii="Arial" w:hAnsi="Arial" w:cs="Arial"/>
          <w:sz w:val="18"/>
          <w:szCs w:val="18"/>
        </w:rPr>
        <w:t xml:space="preserve"> and M. Jones (eds), Critical Perspectives on Human Rights and Disability Law (2011), at 21.</w:t>
      </w:r>
    </w:p>
  </w:footnote>
  <w:footnote w:id="74">
    <w:p w:rsidR="000201A5" w:rsidRDefault="000201A5">
      <w:pPr>
        <w:pStyle w:val="aa"/>
      </w:pPr>
      <w:r>
        <w:rPr>
          <w:rStyle w:val="ac"/>
        </w:rPr>
        <w:footnoteRef/>
      </w:r>
      <w:r>
        <w:t xml:space="preserve"> </w:t>
      </w:r>
      <w:r w:rsidR="000E2526" w:rsidRPr="00953104">
        <w:rPr>
          <w:rFonts w:ascii="Arial" w:hAnsi="Arial" w:cs="Arial"/>
          <w:sz w:val="18"/>
          <w:szCs w:val="18"/>
        </w:rPr>
        <w:t xml:space="preserve">A. </w:t>
      </w:r>
      <w:proofErr w:type="spellStart"/>
      <w:r w:rsidR="000E2526" w:rsidRPr="00953104">
        <w:rPr>
          <w:rFonts w:ascii="Arial" w:hAnsi="Arial" w:cs="Arial"/>
          <w:sz w:val="18"/>
          <w:szCs w:val="18"/>
        </w:rPr>
        <w:t>Honneth</w:t>
      </w:r>
      <w:proofErr w:type="spellEnd"/>
      <w:r w:rsidR="000E2526" w:rsidRPr="00953104">
        <w:rPr>
          <w:rFonts w:ascii="Arial" w:hAnsi="Arial" w:cs="Arial"/>
          <w:sz w:val="18"/>
          <w:szCs w:val="18"/>
        </w:rPr>
        <w:t>, ‘The struggle for recognition’ (1996).</w:t>
      </w:r>
    </w:p>
  </w:footnote>
  <w:footnote w:id="75">
    <w:p w:rsidR="000201A5" w:rsidRDefault="000201A5">
      <w:pPr>
        <w:pStyle w:val="aa"/>
      </w:pPr>
      <w:r>
        <w:rPr>
          <w:rStyle w:val="ac"/>
        </w:rPr>
        <w:footnoteRef/>
      </w:r>
      <w:r>
        <w:t xml:space="preserve"> </w:t>
      </w:r>
      <w:r w:rsidR="000E2526" w:rsidRPr="00953104">
        <w:rPr>
          <w:rFonts w:ascii="Arial" w:hAnsi="Arial" w:cs="Arial"/>
          <w:sz w:val="18"/>
          <w:szCs w:val="18"/>
        </w:rPr>
        <w:t xml:space="preserve">Watson, ‘The Dialectics of Disability: a social model for the 21st century?’, in C. Barnes and G. Mercer (eds), Implementing the social model of disability (2004), at 101–117; </w:t>
      </w:r>
      <w:proofErr w:type="spellStart"/>
      <w:r w:rsidR="000E2526" w:rsidRPr="00953104">
        <w:rPr>
          <w:rFonts w:ascii="Arial" w:hAnsi="Arial" w:cs="Arial"/>
          <w:sz w:val="18"/>
          <w:szCs w:val="18"/>
        </w:rPr>
        <w:t>Danermark</w:t>
      </w:r>
      <w:proofErr w:type="spellEnd"/>
      <w:r w:rsidR="000E2526" w:rsidRPr="00953104">
        <w:rPr>
          <w:rFonts w:ascii="Arial" w:hAnsi="Arial" w:cs="Arial"/>
          <w:sz w:val="18"/>
          <w:szCs w:val="18"/>
        </w:rPr>
        <w:t xml:space="preserve"> and </w:t>
      </w:r>
      <w:proofErr w:type="spellStart"/>
      <w:r w:rsidR="000E2526" w:rsidRPr="00953104">
        <w:rPr>
          <w:rFonts w:ascii="Arial" w:hAnsi="Arial" w:cs="Arial"/>
          <w:sz w:val="18"/>
          <w:szCs w:val="18"/>
        </w:rPr>
        <w:t>Gellerstedt</w:t>
      </w:r>
      <w:proofErr w:type="spellEnd"/>
      <w:r w:rsidR="000E2526" w:rsidRPr="00953104">
        <w:rPr>
          <w:rFonts w:ascii="Arial" w:hAnsi="Arial" w:cs="Arial"/>
          <w:sz w:val="18"/>
          <w:szCs w:val="18"/>
        </w:rPr>
        <w:t>, ‘Social justice: redistribution and recognition – a non-reductionist perspective on disability’, 19 Disability &amp; Society (2004).</w:t>
      </w:r>
    </w:p>
  </w:footnote>
  <w:footnote w:id="76">
    <w:p w:rsidR="000201A5" w:rsidRDefault="000201A5">
      <w:pPr>
        <w:pStyle w:val="aa"/>
      </w:pPr>
      <w:r>
        <w:rPr>
          <w:rStyle w:val="ac"/>
        </w:rPr>
        <w:footnoteRef/>
      </w:r>
      <w:r>
        <w:t xml:space="preserve"> </w:t>
      </w:r>
      <w:r w:rsidR="000E2526" w:rsidRPr="00953104">
        <w:rPr>
          <w:rFonts w:ascii="Arial" w:hAnsi="Arial" w:cs="Arial"/>
          <w:sz w:val="18"/>
          <w:szCs w:val="18"/>
        </w:rPr>
        <w:t>For a combination of capabilities and other approaches see: M. A. Stein, ‘Disability Human Rights’, 95 California Law Review (2007).</w:t>
      </w:r>
    </w:p>
  </w:footnote>
  <w:footnote w:id="77">
    <w:p w:rsidR="000201A5" w:rsidRDefault="000201A5">
      <w:pPr>
        <w:pStyle w:val="aa"/>
      </w:pPr>
      <w:r>
        <w:rPr>
          <w:rStyle w:val="ac"/>
        </w:rPr>
        <w:footnoteRef/>
      </w:r>
      <w:r>
        <w:t xml:space="preserve"> </w:t>
      </w:r>
      <w:r w:rsidR="000E2526" w:rsidRPr="00953104">
        <w:rPr>
          <w:rFonts w:ascii="Arial" w:hAnsi="Arial" w:cs="Arial"/>
          <w:sz w:val="18"/>
          <w:szCs w:val="18"/>
        </w:rPr>
        <w:t>P. Ladd, ‘Understanding deaf culture’ (2003); M. Corker, ‘Deaf transitions’ (1996).</w:t>
      </w:r>
    </w:p>
  </w:footnote>
  <w:footnote w:id="78">
    <w:p w:rsidR="000201A5" w:rsidRDefault="000201A5">
      <w:pPr>
        <w:pStyle w:val="aa"/>
      </w:pPr>
      <w:r>
        <w:rPr>
          <w:rStyle w:val="ac"/>
        </w:rPr>
        <w:footnoteRef/>
      </w:r>
      <w:r>
        <w:t xml:space="preserve"> </w:t>
      </w:r>
      <w:r w:rsidR="000E2526" w:rsidRPr="00953104">
        <w:rPr>
          <w:rFonts w:ascii="Arial" w:hAnsi="Arial" w:cs="Arial"/>
          <w:sz w:val="18"/>
          <w:szCs w:val="18"/>
        </w:rPr>
        <w:t>World Blind Union (http://www.worldblindunion.org/English/Pages/default.aspx), World Federation of the Deaf (</w:t>
      </w:r>
      <w:hyperlink r:id="rId1" w:history="1">
        <w:r w:rsidR="000E2526" w:rsidRPr="00953104">
          <w:rPr>
            <w:rStyle w:val="a3"/>
            <w:rFonts w:ascii="Arial" w:hAnsi="Arial" w:cs="Arial"/>
            <w:sz w:val="18"/>
            <w:szCs w:val="18"/>
          </w:rPr>
          <w:t>http://wfdeaf.org/</w:t>
        </w:r>
      </w:hyperlink>
      <w:r w:rsidR="000E2526" w:rsidRPr="00953104">
        <w:rPr>
          <w:rFonts w:ascii="Arial" w:hAnsi="Arial" w:cs="Arial"/>
          <w:sz w:val="18"/>
          <w:szCs w:val="18"/>
        </w:rPr>
        <w:t>).</w:t>
      </w:r>
    </w:p>
  </w:footnote>
  <w:footnote w:id="79">
    <w:p w:rsidR="000201A5" w:rsidRDefault="000201A5">
      <w:pPr>
        <w:pStyle w:val="aa"/>
      </w:pPr>
      <w:r>
        <w:rPr>
          <w:rStyle w:val="ac"/>
        </w:rPr>
        <w:footnoteRef/>
      </w:r>
      <w:r>
        <w:t xml:space="preserve"> </w:t>
      </w:r>
      <w:r w:rsidR="000E2526" w:rsidRPr="00953104">
        <w:rPr>
          <w:rFonts w:ascii="Arial" w:hAnsi="Arial" w:cs="Arial"/>
          <w:sz w:val="18"/>
          <w:szCs w:val="18"/>
        </w:rPr>
        <w:t>Beresford, ‘Madness, Distress, Research and a Social Model’, in C. Barnes and G. Mercer (eds), Implementing the social model of disability (2004).</w:t>
      </w:r>
    </w:p>
  </w:footnote>
  <w:footnote w:id="80">
    <w:p w:rsidR="000201A5" w:rsidRDefault="000201A5">
      <w:pPr>
        <w:pStyle w:val="aa"/>
      </w:pPr>
      <w:r>
        <w:rPr>
          <w:rStyle w:val="ac"/>
        </w:rPr>
        <w:footnoteRef/>
      </w:r>
      <w:r>
        <w:t xml:space="preserve"> </w:t>
      </w:r>
      <w:r w:rsidR="000E2526" w:rsidRPr="00953104">
        <w:rPr>
          <w:rFonts w:ascii="Arial" w:hAnsi="Arial" w:cs="Arial"/>
          <w:sz w:val="18"/>
          <w:szCs w:val="18"/>
        </w:rPr>
        <w:t>Asch and Fine, ‘Nurturance, Sexuality, and Women with Disabilities’, in L. J. Davis (eds), The disability studies reader (1997); Wendell, ‘Toward a Feminist Theory of Disability’, in L. J. Davis (eds), The disability studies reader (1997); Garland Thomson, ‘Feminist Theory, the Body, and the Disabled Figure’, in L. J. Davis (eds), The disability studies reader (1997); J. Morris, supra note 55.</w:t>
      </w:r>
    </w:p>
  </w:footnote>
  <w:footnote w:id="81">
    <w:p w:rsidR="000201A5" w:rsidRDefault="000201A5">
      <w:pPr>
        <w:pStyle w:val="aa"/>
      </w:pPr>
      <w:r>
        <w:rPr>
          <w:rStyle w:val="ac"/>
        </w:rPr>
        <w:footnoteRef/>
      </w:r>
      <w:r>
        <w:t xml:space="preserve"> </w:t>
      </w:r>
      <w:r w:rsidR="000E2526" w:rsidRPr="00953104">
        <w:rPr>
          <w:rFonts w:ascii="Arial" w:hAnsi="Arial" w:cs="Arial"/>
          <w:sz w:val="18"/>
          <w:szCs w:val="18"/>
        </w:rPr>
        <w:t>C. M. Bell, ‘Blackness and Disability’ (2011).</w:t>
      </w:r>
    </w:p>
  </w:footnote>
  <w:footnote w:id="82">
    <w:p w:rsidR="000201A5" w:rsidRDefault="000201A5">
      <w:pPr>
        <w:pStyle w:val="aa"/>
      </w:pPr>
      <w:r>
        <w:rPr>
          <w:rStyle w:val="ac"/>
        </w:rPr>
        <w:footnoteRef/>
      </w:r>
      <w:r>
        <w:t xml:space="preserve"> </w:t>
      </w:r>
      <w:r w:rsidR="000E2526" w:rsidRPr="00953104">
        <w:rPr>
          <w:rFonts w:ascii="Arial" w:hAnsi="Arial" w:cs="Arial"/>
          <w:sz w:val="18"/>
          <w:szCs w:val="18"/>
        </w:rPr>
        <w:t>Vernon, ‘Multiple Oppression and The Disabled People's Movement’, in T. Shakespeare (eds), The Disability Reader (1998).</w:t>
      </w:r>
    </w:p>
  </w:footnote>
  <w:footnote w:id="83">
    <w:p w:rsidR="000201A5" w:rsidRDefault="000201A5">
      <w:pPr>
        <w:pStyle w:val="aa"/>
      </w:pPr>
      <w:r>
        <w:rPr>
          <w:rStyle w:val="ac"/>
        </w:rPr>
        <w:footnoteRef/>
      </w:r>
      <w:r>
        <w:t xml:space="preserve"> </w:t>
      </w:r>
      <w:r w:rsidR="000E2526" w:rsidRPr="00953104">
        <w:rPr>
          <w:rFonts w:ascii="Arial" w:hAnsi="Arial" w:cs="Arial"/>
          <w:sz w:val="18"/>
          <w:szCs w:val="18"/>
        </w:rPr>
        <w:t>Silvers, ‘Triple Difference: Disability, Race, Gender and the Politics of Recognition’, in L. A. B. Marks and M. Jones (eds), Disability, Divers-ability and Legal Change (1999).</w:t>
      </w:r>
    </w:p>
  </w:footnote>
  <w:footnote w:id="84">
    <w:p w:rsidR="000201A5" w:rsidRDefault="000201A5">
      <w:pPr>
        <w:pStyle w:val="aa"/>
      </w:pPr>
      <w:r>
        <w:rPr>
          <w:rStyle w:val="ac"/>
        </w:rPr>
        <w:footnoteRef/>
      </w:r>
      <w:r>
        <w:t xml:space="preserve"> </w:t>
      </w:r>
      <w:r w:rsidR="000E2526" w:rsidRPr="00953104">
        <w:rPr>
          <w:rFonts w:ascii="Arial" w:hAnsi="Arial" w:cs="Arial"/>
          <w:sz w:val="18"/>
          <w:szCs w:val="18"/>
        </w:rPr>
        <w:t>T. Shakespeare, supra note 59, at 92–110.</w:t>
      </w:r>
    </w:p>
  </w:footnote>
  <w:footnote w:id="85">
    <w:p w:rsidR="000201A5" w:rsidRDefault="000201A5">
      <w:pPr>
        <w:pStyle w:val="aa"/>
      </w:pPr>
      <w:r>
        <w:rPr>
          <w:rStyle w:val="ac"/>
        </w:rPr>
        <w:footnoteRef/>
      </w:r>
      <w:r>
        <w:t xml:space="preserve"> </w:t>
      </w:r>
      <w:r w:rsidR="000E2526" w:rsidRPr="00953104">
        <w:rPr>
          <w:rFonts w:ascii="Arial" w:hAnsi="Arial" w:cs="Arial"/>
          <w:sz w:val="18"/>
          <w:szCs w:val="18"/>
        </w:rPr>
        <w:t>M. Oliver, supra note 22, at 70–78.</w:t>
      </w:r>
    </w:p>
  </w:footnote>
  <w:footnote w:id="86">
    <w:p w:rsidR="000201A5" w:rsidRDefault="000201A5">
      <w:pPr>
        <w:pStyle w:val="aa"/>
      </w:pPr>
      <w:r>
        <w:rPr>
          <w:rStyle w:val="ac"/>
        </w:rPr>
        <w:footnoteRef/>
      </w:r>
      <w:r>
        <w:t xml:space="preserve"> </w:t>
      </w:r>
      <w:r w:rsidR="000E2526" w:rsidRPr="00953104">
        <w:rPr>
          <w:rFonts w:ascii="Arial" w:hAnsi="Arial" w:cs="Arial"/>
          <w:sz w:val="18"/>
          <w:szCs w:val="18"/>
        </w:rPr>
        <w:t>M. Oliver, supra note 22, at 39.</w:t>
      </w:r>
    </w:p>
  </w:footnote>
  <w:footnote w:id="87">
    <w:p w:rsidR="000201A5" w:rsidRDefault="000201A5">
      <w:pPr>
        <w:pStyle w:val="aa"/>
      </w:pPr>
      <w:r>
        <w:rPr>
          <w:rStyle w:val="ac"/>
        </w:rPr>
        <w:footnoteRef/>
      </w:r>
      <w:r>
        <w:t xml:space="preserve"> </w:t>
      </w:r>
      <w:r w:rsidR="000E2526" w:rsidRPr="00953104">
        <w:rPr>
          <w:rFonts w:ascii="Arial" w:hAnsi="Arial" w:cs="Arial"/>
          <w:sz w:val="18"/>
          <w:szCs w:val="18"/>
        </w:rPr>
        <w:t>R. Burke, ‘Decolonization and the Evolution of International Human Rights’ (2010); C. Bob, ‘The International Struggle for New Human Rights’ (2009).</w:t>
      </w:r>
    </w:p>
  </w:footnote>
  <w:footnote w:id="88">
    <w:p w:rsidR="000201A5" w:rsidRDefault="000201A5">
      <w:pPr>
        <w:pStyle w:val="aa"/>
      </w:pPr>
      <w:r>
        <w:rPr>
          <w:rStyle w:val="ac"/>
        </w:rPr>
        <w:footnoteRef/>
      </w:r>
      <w:r>
        <w:t xml:space="preserve"> </w:t>
      </w:r>
      <w:proofErr w:type="spellStart"/>
      <w:r w:rsidR="000E2526" w:rsidRPr="00953104">
        <w:rPr>
          <w:rFonts w:ascii="Arial" w:hAnsi="Arial" w:cs="Arial"/>
          <w:sz w:val="18"/>
          <w:szCs w:val="18"/>
        </w:rPr>
        <w:t>Mégret</w:t>
      </w:r>
      <w:proofErr w:type="spellEnd"/>
      <w:r w:rsidR="000E2526" w:rsidRPr="00953104">
        <w:rPr>
          <w:rFonts w:ascii="Arial" w:hAnsi="Arial" w:cs="Arial"/>
          <w:sz w:val="18"/>
          <w:szCs w:val="18"/>
        </w:rPr>
        <w:t>, ‘The Disabilities Convention’, 494 Human rights quarterly: a comparative and international journal of the social sciences, humanities, and law (2008), at 495.</w:t>
      </w:r>
    </w:p>
  </w:footnote>
  <w:footnote w:id="89">
    <w:p w:rsidR="000201A5" w:rsidRDefault="000201A5">
      <w:pPr>
        <w:pStyle w:val="aa"/>
      </w:pPr>
      <w:r>
        <w:rPr>
          <w:rStyle w:val="ac"/>
        </w:rPr>
        <w:footnoteRef/>
      </w:r>
      <w:r>
        <w:t xml:space="preserve"> </w:t>
      </w:r>
      <w:r w:rsidR="000E2526" w:rsidRPr="00953104">
        <w:rPr>
          <w:rFonts w:ascii="Arial" w:hAnsi="Arial" w:cs="Arial"/>
          <w:sz w:val="18"/>
          <w:szCs w:val="18"/>
        </w:rPr>
        <w:t xml:space="preserve">C. C. Gould, ‘Globalizing democracy and human rights’ (2004), at 77.  </w:t>
      </w:r>
    </w:p>
  </w:footnote>
  <w:footnote w:id="90">
    <w:p w:rsidR="000201A5" w:rsidRDefault="000201A5">
      <w:pPr>
        <w:pStyle w:val="aa"/>
      </w:pPr>
      <w:r>
        <w:rPr>
          <w:rStyle w:val="ac"/>
        </w:rPr>
        <w:footnoteRef/>
      </w:r>
      <w:r>
        <w:t xml:space="preserve"> </w:t>
      </w:r>
      <w:r w:rsidR="000E2526" w:rsidRPr="00953104">
        <w:rPr>
          <w:rFonts w:ascii="Arial" w:hAnsi="Arial" w:cs="Arial"/>
          <w:sz w:val="18"/>
          <w:szCs w:val="18"/>
        </w:rPr>
        <w:t xml:space="preserve">C. </w:t>
      </w:r>
      <w:proofErr w:type="spellStart"/>
      <w:r w:rsidR="000E2526" w:rsidRPr="00953104">
        <w:rPr>
          <w:rFonts w:ascii="Arial" w:hAnsi="Arial" w:cs="Arial"/>
          <w:sz w:val="18"/>
          <w:szCs w:val="18"/>
        </w:rPr>
        <w:t>Chinkin</w:t>
      </w:r>
      <w:proofErr w:type="spellEnd"/>
      <w:r w:rsidR="000E2526" w:rsidRPr="00953104">
        <w:rPr>
          <w:rFonts w:ascii="Arial" w:hAnsi="Arial" w:cs="Arial"/>
          <w:sz w:val="18"/>
          <w:szCs w:val="18"/>
        </w:rPr>
        <w:t xml:space="preserve"> and H. Charlesworth, ‘Feminist analysis of international law’ (1998).</w:t>
      </w:r>
    </w:p>
  </w:footnote>
  <w:footnote w:id="91">
    <w:p w:rsidR="000201A5" w:rsidRDefault="000201A5">
      <w:pPr>
        <w:pStyle w:val="aa"/>
      </w:pPr>
      <w:r>
        <w:rPr>
          <w:rStyle w:val="ac"/>
        </w:rPr>
        <w:footnoteRef/>
      </w:r>
      <w:r>
        <w:t xml:space="preserve"> </w:t>
      </w:r>
      <w:r w:rsidR="000E2526" w:rsidRPr="00953104">
        <w:rPr>
          <w:rFonts w:ascii="Arial" w:hAnsi="Arial" w:cs="Arial"/>
          <w:sz w:val="18"/>
          <w:szCs w:val="18"/>
        </w:rPr>
        <w:t>C. A. MacKinnon, ‘Toward a feminist theory of the state’ (1989).</w:t>
      </w:r>
    </w:p>
  </w:footnote>
  <w:footnote w:id="92">
    <w:p w:rsidR="007A4632" w:rsidRDefault="007A4632">
      <w:pPr>
        <w:pStyle w:val="aa"/>
      </w:pPr>
      <w:r>
        <w:rPr>
          <w:rStyle w:val="ac"/>
        </w:rPr>
        <w:footnoteRef/>
      </w:r>
      <w:r>
        <w:t xml:space="preserve"> </w:t>
      </w:r>
      <w:r w:rsidR="000E2526" w:rsidRPr="00953104">
        <w:rPr>
          <w:rFonts w:ascii="Arial" w:hAnsi="Arial" w:cs="Arial"/>
          <w:sz w:val="18"/>
          <w:szCs w:val="18"/>
        </w:rPr>
        <w:t>M. J. Matsuda, ‘Where is your body?’ (1996).</w:t>
      </w:r>
    </w:p>
  </w:footnote>
  <w:footnote w:id="93">
    <w:p w:rsidR="007A4632" w:rsidRDefault="007A4632">
      <w:pPr>
        <w:pStyle w:val="aa"/>
      </w:pPr>
      <w:r>
        <w:rPr>
          <w:rStyle w:val="ac"/>
        </w:rPr>
        <w:footnoteRef/>
      </w:r>
      <w:r>
        <w:t xml:space="preserve"> </w:t>
      </w:r>
      <w:r w:rsidR="000E2526" w:rsidRPr="00953104">
        <w:rPr>
          <w:rFonts w:ascii="Arial" w:hAnsi="Arial" w:cs="Arial"/>
          <w:sz w:val="18"/>
          <w:szCs w:val="18"/>
        </w:rPr>
        <w:t xml:space="preserve">Harris, ‘Race and Essentialism in Feminist Legal Theory’, 3 Stanford Law Review (1990). </w:t>
      </w:r>
    </w:p>
  </w:footnote>
  <w:footnote w:id="94">
    <w:p w:rsidR="007A4632" w:rsidRDefault="007A4632">
      <w:pPr>
        <w:pStyle w:val="aa"/>
      </w:pPr>
      <w:r>
        <w:rPr>
          <w:rStyle w:val="ac"/>
        </w:rPr>
        <w:footnoteRef/>
      </w:r>
      <w:r>
        <w:t xml:space="preserve"> </w:t>
      </w:r>
      <w:proofErr w:type="spellStart"/>
      <w:r w:rsidR="000E2526" w:rsidRPr="00953104">
        <w:rPr>
          <w:rFonts w:ascii="Arial" w:hAnsi="Arial" w:cs="Arial"/>
          <w:sz w:val="18"/>
          <w:szCs w:val="18"/>
        </w:rPr>
        <w:t>Mégret</w:t>
      </w:r>
      <w:proofErr w:type="spellEnd"/>
      <w:r w:rsidR="000E2526" w:rsidRPr="00953104">
        <w:rPr>
          <w:rFonts w:ascii="Arial" w:hAnsi="Arial" w:cs="Arial"/>
          <w:sz w:val="18"/>
          <w:szCs w:val="18"/>
        </w:rPr>
        <w:t>, supra note 88, at 497 (emphasis in the original).</w:t>
      </w:r>
    </w:p>
  </w:footnote>
  <w:footnote w:id="95">
    <w:p w:rsidR="007A4632" w:rsidRDefault="007A4632">
      <w:pPr>
        <w:pStyle w:val="aa"/>
      </w:pPr>
      <w:r>
        <w:rPr>
          <w:rStyle w:val="ac"/>
        </w:rPr>
        <w:footnoteRef/>
      </w:r>
      <w:r>
        <w:t xml:space="preserve"> </w:t>
      </w:r>
      <w:r w:rsidR="000E2526" w:rsidRPr="00953104">
        <w:rPr>
          <w:rFonts w:ascii="Arial" w:hAnsi="Arial" w:cs="Arial"/>
          <w:sz w:val="18"/>
          <w:szCs w:val="18"/>
        </w:rPr>
        <w:t>Intersex or transgender people as well as gay and lesbians are yet to be included in international human rights law. See Report of the United Nations High Commissioner for Human Rights: Discriminatory laws and practices and acts of violence against individuals based on their sexual orientation and gender identity, UN Doc A/HRC/19/41, 17 November 2011.</w:t>
      </w:r>
    </w:p>
  </w:footnote>
  <w:footnote w:id="96">
    <w:p w:rsidR="007A4632" w:rsidRDefault="007A4632">
      <w:pPr>
        <w:pStyle w:val="aa"/>
      </w:pPr>
      <w:r>
        <w:rPr>
          <w:rStyle w:val="ac"/>
        </w:rPr>
        <w:footnoteRef/>
      </w:r>
      <w:r>
        <w:t xml:space="preserve"> </w:t>
      </w:r>
      <w:proofErr w:type="spellStart"/>
      <w:r w:rsidR="000E2526" w:rsidRPr="00953104">
        <w:rPr>
          <w:rFonts w:ascii="Arial" w:hAnsi="Arial" w:cs="Arial"/>
          <w:sz w:val="18"/>
          <w:szCs w:val="18"/>
        </w:rPr>
        <w:t>Degener</w:t>
      </w:r>
      <w:proofErr w:type="spellEnd"/>
      <w:r w:rsidR="000E2526" w:rsidRPr="00953104">
        <w:rPr>
          <w:rFonts w:ascii="Arial" w:hAnsi="Arial" w:cs="Arial"/>
          <w:sz w:val="18"/>
          <w:szCs w:val="18"/>
        </w:rPr>
        <w:t xml:space="preserve">, ‘Intersections between disability, race and gender in discrimination law’, in D. </w:t>
      </w:r>
      <w:proofErr w:type="spellStart"/>
      <w:r w:rsidR="000E2526" w:rsidRPr="00953104">
        <w:rPr>
          <w:rFonts w:ascii="Arial" w:hAnsi="Arial" w:cs="Arial"/>
          <w:sz w:val="18"/>
          <w:szCs w:val="18"/>
        </w:rPr>
        <w:t>Schiek</w:t>
      </w:r>
      <w:proofErr w:type="spellEnd"/>
      <w:r w:rsidR="000E2526" w:rsidRPr="00953104">
        <w:rPr>
          <w:rFonts w:ascii="Arial" w:hAnsi="Arial" w:cs="Arial"/>
          <w:sz w:val="18"/>
          <w:szCs w:val="18"/>
        </w:rPr>
        <w:t xml:space="preserve"> and A. Lawson (eds), European Union non-discrimination law and intersectionality (2011); Bond, ‘International intersectionality: a theoretical and pragmatic exploration of women's international human rights violations, 52 Emory Law Journal (2003).</w:t>
      </w:r>
    </w:p>
  </w:footnote>
  <w:footnote w:id="97">
    <w:p w:rsidR="007A4632" w:rsidRDefault="007A4632">
      <w:pPr>
        <w:pStyle w:val="aa"/>
      </w:pPr>
      <w:r>
        <w:rPr>
          <w:rStyle w:val="ac"/>
        </w:rPr>
        <w:footnoteRef/>
      </w:r>
      <w:r>
        <w:t xml:space="preserve"> </w:t>
      </w:r>
      <w:r w:rsidR="000E2526" w:rsidRPr="00953104">
        <w:rPr>
          <w:rFonts w:ascii="Arial" w:hAnsi="Arial" w:cs="Arial"/>
          <w:sz w:val="18"/>
          <w:szCs w:val="18"/>
        </w:rPr>
        <w:t>Art. 6 and Art. 7 CRPD.</w:t>
      </w:r>
    </w:p>
  </w:footnote>
  <w:footnote w:id="98">
    <w:p w:rsidR="007A4632" w:rsidRDefault="007A4632">
      <w:pPr>
        <w:pStyle w:val="aa"/>
      </w:pPr>
      <w:r>
        <w:rPr>
          <w:rStyle w:val="ac"/>
        </w:rPr>
        <w:footnoteRef/>
      </w:r>
      <w:r>
        <w:t xml:space="preserve"> </w:t>
      </w:r>
      <w:r w:rsidR="000E2526" w:rsidRPr="00953104">
        <w:rPr>
          <w:rFonts w:ascii="Arial" w:hAnsi="Arial" w:cs="Arial"/>
          <w:sz w:val="18"/>
          <w:szCs w:val="18"/>
        </w:rPr>
        <w:t>Preamble para p), q), r ), s); Art. 3(g), (h); Art. 4(3); Art. 8(2)(b); Art. 13; Art. 16(2), (3), (5); Art. 18; Art. 23(1)(b), (c), (3), (5); Art. 25 (b), Art. 28; Art. 29; Art. 34 CRPD.</w:t>
      </w:r>
    </w:p>
  </w:footnote>
  <w:footnote w:id="99">
    <w:p w:rsidR="007A4632" w:rsidRDefault="007A4632">
      <w:pPr>
        <w:pStyle w:val="aa"/>
      </w:pPr>
      <w:r>
        <w:rPr>
          <w:rStyle w:val="ac"/>
        </w:rPr>
        <w:footnoteRef/>
      </w:r>
      <w:r>
        <w:t xml:space="preserve"> </w:t>
      </w:r>
      <w:r w:rsidR="000E2526" w:rsidRPr="00953104">
        <w:rPr>
          <w:rFonts w:ascii="Arial" w:hAnsi="Arial" w:cs="Arial"/>
          <w:sz w:val="18"/>
          <w:szCs w:val="18"/>
        </w:rPr>
        <w:t>Preamble para p) CRPD.</w:t>
      </w:r>
    </w:p>
  </w:footnote>
  <w:footnote w:id="100">
    <w:p w:rsidR="007A4632" w:rsidRDefault="007A4632">
      <w:pPr>
        <w:pStyle w:val="aa"/>
      </w:pPr>
      <w:r>
        <w:rPr>
          <w:rStyle w:val="ac"/>
        </w:rPr>
        <w:footnoteRef/>
      </w:r>
      <w:r>
        <w:t xml:space="preserve"> </w:t>
      </w:r>
      <w:r w:rsidR="000E2526" w:rsidRPr="00953104">
        <w:rPr>
          <w:rFonts w:ascii="Arial" w:hAnsi="Arial" w:cs="Arial"/>
          <w:sz w:val="18"/>
          <w:szCs w:val="18"/>
        </w:rPr>
        <w:t>Art. 30(4) CRPD.</w:t>
      </w:r>
    </w:p>
  </w:footnote>
  <w:footnote w:id="101">
    <w:p w:rsidR="007A4632" w:rsidRDefault="007A4632">
      <w:pPr>
        <w:pStyle w:val="aa"/>
      </w:pPr>
      <w:r>
        <w:rPr>
          <w:rStyle w:val="ac"/>
        </w:rPr>
        <w:footnoteRef/>
      </w:r>
      <w:r>
        <w:t xml:space="preserve"> </w:t>
      </w:r>
      <w:r w:rsidR="003F0CAF" w:rsidRPr="00953104">
        <w:rPr>
          <w:rFonts w:ascii="Arial" w:hAnsi="Arial" w:cs="Arial"/>
          <w:sz w:val="18"/>
          <w:szCs w:val="18"/>
        </w:rPr>
        <w:t>Art. 24(3)(a) and (b).</w:t>
      </w:r>
    </w:p>
  </w:footnote>
  <w:footnote w:id="102">
    <w:p w:rsidR="007A4632" w:rsidRDefault="007A4632">
      <w:pPr>
        <w:pStyle w:val="aa"/>
      </w:pPr>
      <w:r>
        <w:rPr>
          <w:rStyle w:val="ac"/>
        </w:rPr>
        <w:footnoteRef/>
      </w:r>
      <w:r>
        <w:t xml:space="preserve"> </w:t>
      </w:r>
      <w:r w:rsidR="003F0CAF" w:rsidRPr="00953104">
        <w:rPr>
          <w:rFonts w:ascii="Arial" w:hAnsi="Arial" w:cs="Arial"/>
          <w:sz w:val="18"/>
          <w:szCs w:val="18"/>
        </w:rPr>
        <w:t>M. Oliver, supra note 22, at 54–59.</w:t>
      </w:r>
    </w:p>
  </w:footnote>
  <w:footnote w:id="103">
    <w:p w:rsidR="007A4632" w:rsidRDefault="007A4632">
      <w:pPr>
        <w:pStyle w:val="aa"/>
      </w:pPr>
      <w:r>
        <w:rPr>
          <w:rStyle w:val="ac"/>
        </w:rPr>
        <w:footnoteRef/>
      </w:r>
      <w:r>
        <w:t xml:space="preserve"> </w:t>
      </w:r>
      <w:r w:rsidR="003F0CAF" w:rsidRPr="00953104">
        <w:rPr>
          <w:rFonts w:ascii="Arial" w:hAnsi="Arial" w:cs="Arial"/>
          <w:sz w:val="18"/>
          <w:szCs w:val="18"/>
        </w:rPr>
        <w:t>T.</w:t>
      </w:r>
      <w:r w:rsidR="003F0CAF">
        <w:rPr>
          <w:rFonts w:ascii="Arial" w:hAnsi="Arial" w:cs="Arial" w:hint="eastAsia"/>
          <w:sz w:val="18"/>
          <w:szCs w:val="18"/>
        </w:rPr>
        <w:t xml:space="preserve"> </w:t>
      </w:r>
      <w:proofErr w:type="spellStart"/>
      <w:r w:rsidR="003F0CAF" w:rsidRPr="00953104">
        <w:rPr>
          <w:rFonts w:ascii="Arial" w:hAnsi="Arial" w:cs="Arial"/>
          <w:sz w:val="18"/>
          <w:szCs w:val="18"/>
        </w:rPr>
        <w:t>Degener</w:t>
      </w:r>
      <w:proofErr w:type="spellEnd"/>
      <w:r w:rsidR="003F0CAF" w:rsidRPr="00953104">
        <w:rPr>
          <w:rFonts w:ascii="Arial" w:hAnsi="Arial" w:cs="Arial"/>
          <w:sz w:val="18"/>
          <w:szCs w:val="18"/>
        </w:rPr>
        <w:t xml:space="preserve"> and S. </w:t>
      </w:r>
      <w:proofErr w:type="spellStart"/>
      <w:r w:rsidR="003F0CAF" w:rsidRPr="00953104">
        <w:rPr>
          <w:rFonts w:ascii="Arial" w:hAnsi="Arial" w:cs="Arial"/>
          <w:sz w:val="18"/>
          <w:szCs w:val="18"/>
        </w:rPr>
        <w:t>Köbsell</w:t>
      </w:r>
      <w:proofErr w:type="spellEnd"/>
      <w:r w:rsidR="003F0CAF" w:rsidRPr="00953104">
        <w:rPr>
          <w:rFonts w:ascii="Arial" w:hAnsi="Arial" w:cs="Arial"/>
          <w:sz w:val="18"/>
          <w:szCs w:val="18"/>
        </w:rPr>
        <w:t>, ‘„</w:t>
      </w:r>
      <w:proofErr w:type="spellStart"/>
      <w:r w:rsidR="003F0CAF" w:rsidRPr="00953104">
        <w:rPr>
          <w:rFonts w:ascii="Arial" w:hAnsi="Arial" w:cs="Arial"/>
          <w:sz w:val="18"/>
          <w:szCs w:val="18"/>
        </w:rPr>
        <w:t>Hauptsache</w:t>
      </w:r>
      <w:proofErr w:type="spellEnd"/>
      <w:r w:rsidR="003F0CAF" w:rsidRPr="00953104">
        <w:rPr>
          <w:rFonts w:ascii="Arial" w:hAnsi="Arial" w:cs="Arial"/>
          <w:sz w:val="18"/>
          <w:szCs w:val="18"/>
        </w:rPr>
        <w:t xml:space="preserve"> </w:t>
      </w:r>
      <w:proofErr w:type="spellStart"/>
      <w:r w:rsidR="003F0CAF" w:rsidRPr="00953104">
        <w:rPr>
          <w:rFonts w:ascii="Arial" w:hAnsi="Arial" w:cs="Arial"/>
          <w:sz w:val="18"/>
          <w:szCs w:val="18"/>
        </w:rPr>
        <w:t>es</w:t>
      </w:r>
      <w:proofErr w:type="spellEnd"/>
      <w:r w:rsidR="003F0CAF" w:rsidRPr="00953104">
        <w:rPr>
          <w:rFonts w:ascii="Arial" w:hAnsi="Arial" w:cs="Arial"/>
          <w:sz w:val="18"/>
          <w:szCs w:val="18"/>
        </w:rPr>
        <w:t xml:space="preserve"> </w:t>
      </w:r>
      <w:proofErr w:type="spellStart"/>
      <w:r w:rsidR="003F0CAF" w:rsidRPr="00953104">
        <w:rPr>
          <w:rFonts w:ascii="Arial" w:hAnsi="Arial" w:cs="Arial"/>
          <w:sz w:val="18"/>
          <w:szCs w:val="18"/>
        </w:rPr>
        <w:t>ist</w:t>
      </w:r>
      <w:proofErr w:type="spellEnd"/>
      <w:r w:rsidR="003F0CAF" w:rsidRPr="00953104">
        <w:rPr>
          <w:rFonts w:ascii="Arial" w:hAnsi="Arial" w:cs="Arial"/>
          <w:sz w:val="18"/>
          <w:szCs w:val="18"/>
        </w:rPr>
        <w:t xml:space="preserve"> </w:t>
      </w:r>
      <w:proofErr w:type="spellStart"/>
      <w:r w:rsidR="003F0CAF" w:rsidRPr="00953104">
        <w:rPr>
          <w:rFonts w:ascii="Arial" w:hAnsi="Arial" w:cs="Arial"/>
          <w:sz w:val="18"/>
          <w:szCs w:val="18"/>
        </w:rPr>
        <w:t>gesund</w:t>
      </w:r>
      <w:proofErr w:type="spellEnd"/>
      <w:r w:rsidR="003F0CAF" w:rsidRPr="00953104">
        <w:rPr>
          <w:rFonts w:ascii="Arial" w:hAnsi="Arial" w:cs="Arial"/>
          <w:sz w:val="18"/>
          <w:szCs w:val="18"/>
        </w:rPr>
        <w:t xml:space="preserve">?“‘ (1992); E. </w:t>
      </w:r>
      <w:proofErr w:type="spellStart"/>
      <w:r w:rsidR="003F0CAF" w:rsidRPr="00953104">
        <w:rPr>
          <w:rFonts w:ascii="Arial" w:hAnsi="Arial" w:cs="Arial"/>
          <w:sz w:val="18"/>
          <w:szCs w:val="18"/>
        </w:rPr>
        <w:t>Parens</w:t>
      </w:r>
      <w:proofErr w:type="spellEnd"/>
      <w:r w:rsidR="003F0CAF" w:rsidRPr="00953104">
        <w:rPr>
          <w:rFonts w:ascii="Arial" w:hAnsi="Arial" w:cs="Arial"/>
          <w:sz w:val="18"/>
          <w:szCs w:val="18"/>
        </w:rPr>
        <w:t xml:space="preserve"> and A. Asch, ‘Prenatal testing and disability rights’ (2000); A. Silvers, D. T. Wasserman and M. B. </w:t>
      </w:r>
      <w:proofErr w:type="spellStart"/>
      <w:r w:rsidR="003F0CAF" w:rsidRPr="00953104">
        <w:rPr>
          <w:rFonts w:ascii="Arial" w:hAnsi="Arial" w:cs="Arial"/>
          <w:sz w:val="18"/>
          <w:szCs w:val="18"/>
        </w:rPr>
        <w:t>Mahowald</w:t>
      </w:r>
      <w:proofErr w:type="spellEnd"/>
      <w:r w:rsidR="003F0CAF" w:rsidRPr="00953104">
        <w:rPr>
          <w:rFonts w:ascii="Arial" w:hAnsi="Arial" w:cs="Arial"/>
          <w:sz w:val="18"/>
          <w:szCs w:val="18"/>
        </w:rPr>
        <w:t xml:space="preserve">, ‘Disability, difference, discrimination’ (1998); Saxton, ‘Why members of the disability community oppose prenatal diagnosis and selective abortion’, in E. </w:t>
      </w:r>
      <w:proofErr w:type="spellStart"/>
      <w:r w:rsidR="003F0CAF" w:rsidRPr="00953104">
        <w:rPr>
          <w:rFonts w:ascii="Arial" w:hAnsi="Arial" w:cs="Arial"/>
          <w:sz w:val="18"/>
          <w:szCs w:val="18"/>
        </w:rPr>
        <w:t>Parens</w:t>
      </w:r>
      <w:proofErr w:type="spellEnd"/>
      <w:r w:rsidR="003F0CAF" w:rsidRPr="00953104">
        <w:rPr>
          <w:rFonts w:ascii="Arial" w:hAnsi="Arial" w:cs="Arial"/>
          <w:sz w:val="18"/>
          <w:szCs w:val="18"/>
        </w:rPr>
        <w:t xml:space="preserve"> and A. Asch (eds), Prenatal testing and disability rights (2000); J. Morris, supra note 55.</w:t>
      </w:r>
    </w:p>
  </w:footnote>
  <w:footnote w:id="104">
    <w:p w:rsidR="007A4632" w:rsidRDefault="007A4632">
      <w:pPr>
        <w:pStyle w:val="aa"/>
      </w:pPr>
      <w:r>
        <w:rPr>
          <w:rStyle w:val="ac"/>
        </w:rPr>
        <w:footnoteRef/>
      </w:r>
      <w:r>
        <w:t xml:space="preserve"> </w:t>
      </w:r>
      <w:r w:rsidR="003F0CAF" w:rsidRPr="00953104">
        <w:rPr>
          <w:rFonts w:ascii="Arial" w:hAnsi="Arial" w:cs="Arial"/>
          <w:sz w:val="18"/>
          <w:szCs w:val="18"/>
        </w:rPr>
        <w:t xml:space="preserve">The Vatican is a UN member state and the delegation took a very active role in this matter. </w:t>
      </w:r>
    </w:p>
  </w:footnote>
  <w:footnote w:id="105">
    <w:p w:rsidR="007A4632" w:rsidRDefault="007A4632">
      <w:pPr>
        <w:pStyle w:val="aa"/>
      </w:pPr>
      <w:r>
        <w:rPr>
          <w:rStyle w:val="ac"/>
        </w:rPr>
        <w:footnoteRef/>
      </w:r>
      <w:r>
        <w:t xml:space="preserve"> </w:t>
      </w:r>
      <w:r w:rsidR="003F0CAF" w:rsidRPr="00953104">
        <w:rPr>
          <w:rFonts w:ascii="Arial" w:hAnsi="Arial" w:cs="Arial"/>
          <w:sz w:val="18"/>
          <w:szCs w:val="18"/>
        </w:rPr>
        <w:t>WPA A/37/351/Add.1 and Add.1/Corr.1, annex .</w:t>
      </w:r>
    </w:p>
  </w:footnote>
  <w:footnote w:id="106">
    <w:p w:rsidR="007A4632" w:rsidRDefault="007A4632">
      <w:pPr>
        <w:pStyle w:val="aa"/>
      </w:pPr>
      <w:r>
        <w:rPr>
          <w:rStyle w:val="ac"/>
        </w:rPr>
        <w:footnoteRef/>
      </w:r>
      <w:r>
        <w:t xml:space="preserve"> </w:t>
      </w:r>
      <w:r w:rsidR="003F0CAF" w:rsidRPr="00953104">
        <w:rPr>
          <w:rFonts w:ascii="Arial" w:hAnsi="Arial" w:cs="Arial"/>
          <w:sz w:val="18"/>
          <w:szCs w:val="18"/>
        </w:rPr>
        <w:t xml:space="preserve">WPA para 13 and 52–56; </w:t>
      </w:r>
      <w:proofErr w:type="spellStart"/>
      <w:r w:rsidR="003F0CAF" w:rsidRPr="00953104">
        <w:rPr>
          <w:rFonts w:ascii="Arial" w:hAnsi="Arial" w:cs="Arial"/>
          <w:sz w:val="18"/>
          <w:szCs w:val="18"/>
        </w:rPr>
        <w:t>StRE</w:t>
      </w:r>
      <w:proofErr w:type="spellEnd"/>
      <w:r w:rsidR="003F0CAF" w:rsidRPr="00953104">
        <w:rPr>
          <w:rFonts w:ascii="Arial" w:hAnsi="Arial" w:cs="Arial"/>
          <w:sz w:val="18"/>
          <w:szCs w:val="18"/>
        </w:rPr>
        <w:t xml:space="preserve"> para 22.</w:t>
      </w:r>
    </w:p>
  </w:footnote>
  <w:footnote w:id="107">
    <w:p w:rsidR="007A4632" w:rsidRDefault="007A4632">
      <w:pPr>
        <w:pStyle w:val="aa"/>
      </w:pPr>
      <w:r>
        <w:rPr>
          <w:rStyle w:val="ac"/>
        </w:rPr>
        <w:footnoteRef/>
      </w:r>
      <w:r>
        <w:t xml:space="preserve"> </w:t>
      </w:r>
      <w:r w:rsidR="003F0CAF" w:rsidRPr="00953104">
        <w:rPr>
          <w:rFonts w:ascii="Arial" w:hAnsi="Arial" w:cs="Arial"/>
          <w:sz w:val="18"/>
          <w:szCs w:val="18"/>
        </w:rPr>
        <w:t xml:space="preserve">D. </w:t>
      </w:r>
      <w:proofErr w:type="spellStart"/>
      <w:r w:rsidR="003F0CAF" w:rsidRPr="00953104">
        <w:rPr>
          <w:rFonts w:ascii="Arial" w:hAnsi="Arial" w:cs="Arial"/>
          <w:sz w:val="18"/>
          <w:szCs w:val="18"/>
        </w:rPr>
        <w:t>Driedger</w:t>
      </w:r>
      <w:proofErr w:type="spellEnd"/>
      <w:r w:rsidR="003F0CAF" w:rsidRPr="00953104">
        <w:rPr>
          <w:rFonts w:ascii="Arial" w:hAnsi="Arial" w:cs="Arial"/>
          <w:sz w:val="18"/>
          <w:szCs w:val="18"/>
        </w:rPr>
        <w:t>, ‘The Last Civil Rights Movement’ (1989), at 97–99.</w:t>
      </w:r>
    </w:p>
  </w:footnote>
  <w:footnote w:id="108">
    <w:p w:rsidR="007A4632" w:rsidRDefault="007A4632">
      <w:pPr>
        <w:pStyle w:val="aa"/>
      </w:pPr>
      <w:r>
        <w:rPr>
          <w:rStyle w:val="ac"/>
        </w:rPr>
        <w:footnoteRef/>
      </w:r>
      <w:r>
        <w:t xml:space="preserve"> </w:t>
      </w:r>
      <w:r w:rsidR="003F0CAF" w:rsidRPr="00953104">
        <w:rPr>
          <w:rFonts w:ascii="Arial" w:hAnsi="Arial" w:cs="Arial"/>
          <w:sz w:val="18"/>
          <w:szCs w:val="18"/>
        </w:rPr>
        <w:t>WPA para 54.</w:t>
      </w:r>
    </w:p>
  </w:footnote>
  <w:footnote w:id="109">
    <w:p w:rsidR="007A4632" w:rsidRDefault="007A4632">
      <w:pPr>
        <w:pStyle w:val="aa"/>
      </w:pPr>
      <w:r>
        <w:rPr>
          <w:rStyle w:val="ac"/>
        </w:rPr>
        <w:footnoteRef/>
      </w:r>
      <w:r>
        <w:t xml:space="preserve"> </w:t>
      </w:r>
      <w:r w:rsidR="003F0CAF" w:rsidRPr="00953104">
        <w:rPr>
          <w:rFonts w:ascii="Arial" w:hAnsi="Arial" w:cs="Arial"/>
          <w:sz w:val="18"/>
          <w:szCs w:val="18"/>
        </w:rPr>
        <w:t>WPA para 54.</w:t>
      </w:r>
    </w:p>
  </w:footnote>
  <w:footnote w:id="110">
    <w:p w:rsidR="00356109" w:rsidRDefault="00356109" w:rsidP="00356109">
      <w:pPr>
        <w:pStyle w:val="aa"/>
      </w:pPr>
      <w:r>
        <w:rPr>
          <w:rStyle w:val="ac"/>
        </w:rPr>
        <w:footnoteRef/>
      </w:r>
      <w:r>
        <w:t xml:space="preserve"> </w:t>
      </w:r>
      <w:r w:rsidR="003F0CAF" w:rsidRPr="00953104">
        <w:rPr>
          <w:rFonts w:ascii="Arial" w:hAnsi="Arial" w:cs="Arial"/>
          <w:sz w:val="18"/>
          <w:szCs w:val="18"/>
        </w:rPr>
        <w:t>WPA para 55 (emphasis added).</w:t>
      </w:r>
    </w:p>
  </w:footnote>
  <w:footnote w:id="111">
    <w:p w:rsidR="00356109" w:rsidRDefault="00356109">
      <w:pPr>
        <w:pStyle w:val="aa"/>
      </w:pPr>
      <w:r>
        <w:rPr>
          <w:rStyle w:val="ac"/>
        </w:rPr>
        <w:footnoteRef/>
      </w:r>
      <w:r>
        <w:t xml:space="preserve"> </w:t>
      </w:r>
      <w:proofErr w:type="spellStart"/>
      <w:r w:rsidR="003F0CAF" w:rsidRPr="00953104">
        <w:rPr>
          <w:rFonts w:ascii="Arial" w:hAnsi="Arial" w:cs="Arial"/>
          <w:sz w:val="18"/>
          <w:szCs w:val="18"/>
        </w:rPr>
        <w:t>Degener</w:t>
      </w:r>
      <w:proofErr w:type="spellEnd"/>
      <w:r w:rsidR="003F0CAF" w:rsidRPr="00953104">
        <w:rPr>
          <w:rFonts w:ascii="Arial" w:hAnsi="Arial" w:cs="Arial"/>
          <w:sz w:val="18"/>
          <w:szCs w:val="18"/>
        </w:rPr>
        <w:t xml:space="preserve">, ‘Disabled Women and International Human Rights’, in K. D. </w:t>
      </w:r>
      <w:proofErr w:type="spellStart"/>
      <w:r w:rsidR="003F0CAF" w:rsidRPr="00953104">
        <w:rPr>
          <w:rFonts w:ascii="Arial" w:hAnsi="Arial" w:cs="Arial"/>
          <w:sz w:val="18"/>
          <w:szCs w:val="18"/>
        </w:rPr>
        <w:t>Askin</w:t>
      </w:r>
      <w:proofErr w:type="spellEnd"/>
      <w:r w:rsidR="003F0CAF" w:rsidRPr="00953104">
        <w:rPr>
          <w:rFonts w:ascii="Arial" w:hAnsi="Arial" w:cs="Arial"/>
          <w:sz w:val="18"/>
          <w:szCs w:val="18"/>
        </w:rPr>
        <w:t xml:space="preserve"> and D. M. Koenig (eds), Women and International Human Rights Law (2001), at 278; O. Nagase, ‘Difference, Equality and Disabled People’ (1995).</w:t>
      </w:r>
    </w:p>
  </w:footnote>
  <w:footnote w:id="112">
    <w:p w:rsidR="00356109" w:rsidRDefault="00356109">
      <w:pPr>
        <w:pStyle w:val="aa"/>
      </w:pPr>
      <w:r>
        <w:rPr>
          <w:rStyle w:val="ac"/>
        </w:rPr>
        <w:footnoteRef/>
      </w:r>
      <w:r>
        <w:t xml:space="preserve"> </w:t>
      </w:r>
      <w:r w:rsidR="003F0CAF" w:rsidRPr="00953104">
        <w:rPr>
          <w:rFonts w:ascii="Arial" w:hAnsi="Arial" w:cs="Arial"/>
          <w:sz w:val="18"/>
          <w:szCs w:val="18"/>
        </w:rPr>
        <w:t>Preamble para f) CRPD.</w:t>
      </w:r>
    </w:p>
  </w:footnote>
  <w:footnote w:id="113">
    <w:p w:rsidR="00356109" w:rsidRDefault="00356109">
      <w:pPr>
        <w:pStyle w:val="aa"/>
      </w:pPr>
      <w:r>
        <w:rPr>
          <w:rStyle w:val="ac"/>
        </w:rPr>
        <w:footnoteRef/>
      </w:r>
      <w:r>
        <w:t xml:space="preserve"> </w:t>
      </w:r>
      <w:proofErr w:type="spellStart"/>
      <w:r w:rsidR="003F0CAF" w:rsidRPr="00953104">
        <w:rPr>
          <w:rFonts w:ascii="Arial" w:hAnsi="Arial" w:cs="Arial"/>
          <w:sz w:val="18"/>
          <w:szCs w:val="18"/>
        </w:rPr>
        <w:t>Trömel</w:t>
      </w:r>
      <w:proofErr w:type="spellEnd"/>
      <w:r w:rsidR="003F0CAF" w:rsidRPr="00953104">
        <w:rPr>
          <w:rFonts w:ascii="Arial" w:hAnsi="Arial" w:cs="Arial"/>
          <w:sz w:val="18"/>
          <w:szCs w:val="18"/>
        </w:rPr>
        <w:t>, supra note 18, at 120.</w:t>
      </w:r>
    </w:p>
  </w:footnote>
  <w:footnote w:id="114">
    <w:p w:rsidR="00356109" w:rsidRDefault="00356109">
      <w:pPr>
        <w:pStyle w:val="aa"/>
      </w:pPr>
      <w:r>
        <w:rPr>
          <w:rStyle w:val="ac"/>
        </w:rPr>
        <w:footnoteRef/>
      </w:r>
      <w:r>
        <w:t xml:space="preserve"> </w:t>
      </w:r>
      <w:r w:rsidR="003F0CAF" w:rsidRPr="00953104">
        <w:rPr>
          <w:rFonts w:ascii="Arial" w:hAnsi="Arial" w:cs="Arial"/>
          <w:sz w:val="18"/>
          <w:szCs w:val="18"/>
        </w:rPr>
        <w:t>Art. 12 ICESCR.</w:t>
      </w:r>
    </w:p>
  </w:footnote>
  <w:footnote w:id="115">
    <w:p w:rsidR="00356109" w:rsidRDefault="00356109">
      <w:pPr>
        <w:pStyle w:val="aa"/>
      </w:pPr>
      <w:r>
        <w:rPr>
          <w:rStyle w:val="ac"/>
        </w:rPr>
        <w:footnoteRef/>
      </w:r>
      <w:r>
        <w:t xml:space="preserve"> </w:t>
      </w:r>
      <w:r w:rsidR="003F0CAF" w:rsidRPr="00953104">
        <w:rPr>
          <w:rFonts w:ascii="Arial" w:hAnsi="Arial" w:cs="Arial"/>
          <w:sz w:val="18"/>
          <w:szCs w:val="18"/>
        </w:rPr>
        <w:t>T. Shakespeare, supra note 59.</w:t>
      </w:r>
    </w:p>
  </w:footnote>
  <w:footnote w:id="116">
    <w:p w:rsidR="00356109" w:rsidRDefault="00356109">
      <w:pPr>
        <w:pStyle w:val="aa"/>
      </w:pPr>
      <w:r>
        <w:rPr>
          <w:rStyle w:val="ac"/>
        </w:rPr>
        <w:footnoteRef/>
      </w:r>
      <w:r>
        <w:t xml:space="preserve"> </w:t>
      </w:r>
      <w:r w:rsidR="003F0CAF" w:rsidRPr="00953104">
        <w:rPr>
          <w:rFonts w:ascii="Arial" w:hAnsi="Arial" w:cs="Arial"/>
          <w:sz w:val="18"/>
          <w:szCs w:val="18"/>
        </w:rPr>
        <w:t xml:space="preserve">World Health </w:t>
      </w:r>
      <w:proofErr w:type="spellStart"/>
      <w:r w:rsidR="003F0CAF" w:rsidRPr="00953104">
        <w:rPr>
          <w:rFonts w:ascii="Arial" w:hAnsi="Arial" w:cs="Arial"/>
          <w:sz w:val="18"/>
          <w:szCs w:val="18"/>
        </w:rPr>
        <w:t>Organisation</w:t>
      </w:r>
      <w:proofErr w:type="spellEnd"/>
      <w:r w:rsidR="003F0CAF" w:rsidRPr="00953104">
        <w:rPr>
          <w:rFonts w:ascii="Arial" w:hAnsi="Arial" w:cs="Arial"/>
          <w:sz w:val="18"/>
          <w:szCs w:val="18"/>
        </w:rPr>
        <w:t>/World Bank, ‘World Report on Disability’ (2011), at 57–60.</w:t>
      </w:r>
    </w:p>
  </w:footnote>
  <w:footnote w:id="117">
    <w:p w:rsidR="00356109" w:rsidRDefault="00356109">
      <w:pPr>
        <w:pStyle w:val="aa"/>
      </w:pPr>
      <w:r>
        <w:rPr>
          <w:rStyle w:val="ac"/>
        </w:rPr>
        <w:footnoteRef/>
      </w:r>
      <w:r>
        <w:t xml:space="preserve"> </w:t>
      </w:r>
      <w:r w:rsidR="003F0CAF" w:rsidRPr="00953104">
        <w:rPr>
          <w:rFonts w:ascii="Arial" w:hAnsi="Arial" w:cs="Arial"/>
          <w:sz w:val="18"/>
          <w:szCs w:val="18"/>
        </w:rPr>
        <w:t>Art. 25(b) CRPD.</w:t>
      </w:r>
    </w:p>
  </w:footnote>
  <w:footnote w:id="118">
    <w:p w:rsidR="00356109" w:rsidRDefault="00356109">
      <w:pPr>
        <w:pStyle w:val="aa"/>
      </w:pPr>
      <w:r>
        <w:rPr>
          <w:rStyle w:val="ac"/>
        </w:rPr>
        <w:footnoteRef/>
      </w:r>
      <w:r>
        <w:t xml:space="preserve"> </w:t>
      </w:r>
      <w:r w:rsidR="003F0CAF" w:rsidRPr="00953104">
        <w:rPr>
          <w:rFonts w:ascii="Arial" w:hAnsi="Arial" w:cs="Arial"/>
          <w:sz w:val="18"/>
          <w:szCs w:val="18"/>
        </w:rPr>
        <w:t xml:space="preserve">World Health </w:t>
      </w:r>
      <w:proofErr w:type="spellStart"/>
      <w:r w:rsidR="003F0CAF" w:rsidRPr="00953104">
        <w:rPr>
          <w:rFonts w:ascii="Arial" w:hAnsi="Arial" w:cs="Arial"/>
          <w:sz w:val="18"/>
          <w:szCs w:val="18"/>
        </w:rPr>
        <w:t>Organisation</w:t>
      </w:r>
      <w:proofErr w:type="spellEnd"/>
      <w:r w:rsidR="003F0CAF" w:rsidRPr="00953104">
        <w:rPr>
          <w:rFonts w:ascii="Arial" w:hAnsi="Arial" w:cs="Arial"/>
          <w:sz w:val="18"/>
          <w:szCs w:val="18"/>
        </w:rPr>
        <w:t>/World Bank, supra note 116, at 8.</w:t>
      </w:r>
    </w:p>
  </w:footnote>
  <w:footnote w:id="119">
    <w:p w:rsidR="00356109" w:rsidRDefault="00356109">
      <w:pPr>
        <w:pStyle w:val="aa"/>
      </w:pPr>
      <w:r>
        <w:rPr>
          <w:rStyle w:val="ac"/>
        </w:rPr>
        <w:footnoteRef/>
      </w:r>
      <w:r>
        <w:t xml:space="preserve"> </w:t>
      </w:r>
      <w:r w:rsidR="003F0CAF" w:rsidRPr="00953104">
        <w:rPr>
          <w:rFonts w:ascii="Arial" w:hAnsi="Arial" w:cs="Arial"/>
          <w:sz w:val="18"/>
          <w:szCs w:val="18"/>
        </w:rPr>
        <w:t>M. Oliver, supra note 22, at 12–13.</w:t>
      </w:r>
    </w:p>
  </w:footnote>
  <w:footnote w:id="120">
    <w:p w:rsidR="00356109" w:rsidRDefault="00356109">
      <w:pPr>
        <w:pStyle w:val="aa"/>
      </w:pPr>
      <w:r>
        <w:rPr>
          <w:rStyle w:val="ac"/>
        </w:rPr>
        <w:footnoteRef/>
      </w:r>
      <w:r>
        <w:t xml:space="preserve"> </w:t>
      </w:r>
      <w:r w:rsidR="003F0CAF" w:rsidRPr="00953104">
        <w:rPr>
          <w:rFonts w:ascii="Arial" w:hAnsi="Arial" w:cs="Arial"/>
          <w:sz w:val="18"/>
          <w:szCs w:val="18"/>
        </w:rPr>
        <w:t>T. Shakespeare, supra note 59, at 34–35.</w:t>
      </w:r>
    </w:p>
  </w:footnote>
  <w:footnote w:id="121">
    <w:p w:rsidR="00356109" w:rsidRDefault="00356109">
      <w:pPr>
        <w:pStyle w:val="aa"/>
      </w:pPr>
      <w:r>
        <w:rPr>
          <w:rStyle w:val="ac"/>
        </w:rPr>
        <w:footnoteRef/>
      </w:r>
      <w:r>
        <w:t xml:space="preserve"> </w:t>
      </w:r>
      <w:r w:rsidR="003F0CAF" w:rsidRPr="00953104">
        <w:rPr>
          <w:rFonts w:ascii="Arial" w:hAnsi="Arial" w:cs="Arial"/>
          <w:sz w:val="18"/>
          <w:szCs w:val="18"/>
        </w:rPr>
        <w:t xml:space="preserve">World Health </w:t>
      </w:r>
      <w:proofErr w:type="spellStart"/>
      <w:r w:rsidR="003F0CAF" w:rsidRPr="00953104">
        <w:rPr>
          <w:rFonts w:ascii="Arial" w:hAnsi="Arial" w:cs="Arial"/>
          <w:sz w:val="18"/>
          <w:szCs w:val="18"/>
        </w:rPr>
        <w:t>Organisation</w:t>
      </w:r>
      <w:proofErr w:type="spellEnd"/>
      <w:r w:rsidR="003F0CAF" w:rsidRPr="00953104">
        <w:rPr>
          <w:rFonts w:ascii="Arial" w:hAnsi="Arial" w:cs="Arial"/>
          <w:sz w:val="18"/>
          <w:szCs w:val="18"/>
        </w:rPr>
        <w:t>/World Bank, supra note 116, at 10–11.</w:t>
      </w:r>
    </w:p>
  </w:footnote>
  <w:footnote w:id="122">
    <w:p w:rsidR="00356109" w:rsidRDefault="00356109">
      <w:pPr>
        <w:pStyle w:val="aa"/>
      </w:pPr>
      <w:r>
        <w:rPr>
          <w:rStyle w:val="ac"/>
        </w:rPr>
        <w:footnoteRef/>
      </w:r>
      <w:r>
        <w:t xml:space="preserve"> </w:t>
      </w:r>
      <w:r w:rsidR="003F0CAF" w:rsidRPr="00953104">
        <w:rPr>
          <w:rFonts w:ascii="Arial" w:hAnsi="Arial" w:cs="Arial"/>
          <w:sz w:val="18"/>
          <w:szCs w:val="18"/>
        </w:rPr>
        <w:t xml:space="preserve">C. Barnes and G. Mercer, ‘The social model of disability’ (2005), at 15; D. </w:t>
      </w:r>
      <w:proofErr w:type="spellStart"/>
      <w:r w:rsidR="003F0CAF" w:rsidRPr="00953104">
        <w:rPr>
          <w:rFonts w:ascii="Arial" w:hAnsi="Arial" w:cs="Arial"/>
          <w:sz w:val="18"/>
          <w:szCs w:val="18"/>
        </w:rPr>
        <w:t>Driedger</w:t>
      </w:r>
      <w:proofErr w:type="spellEnd"/>
      <w:r w:rsidR="003F0CAF" w:rsidRPr="00953104">
        <w:rPr>
          <w:rFonts w:ascii="Arial" w:hAnsi="Arial" w:cs="Arial"/>
          <w:sz w:val="18"/>
          <w:szCs w:val="18"/>
        </w:rPr>
        <w:t xml:space="preserve">, supra note 107; B. </w:t>
      </w:r>
      <w:proofErr w:type="spellStart"/>
      <w:r w:rsidR="003F0CAF" w:rsidRPr="00953104">
        <w:rPr>
          <w:rFonts w:ascii="Arial" w:hAnsi="Arial" w:cs="Arial"/>
          <w:sz w:val="18"/>
          <w:szCs w:val="18"/>
        </w:rPr>
        <w:t>Watermeyer</w:t>
      </w:r>
      <w:proofErr w:type="spellEnd"/>
      <w:r w:rsidR="003F0CAF" w:rsidRPr="00953104">
        <w:rPr>
          <w:rFonts w:ascii="Arial" w:hAnsi="Arial" w:cs="Arial"/>
          <w:sz w:val="18"/>
          <w:szCs w:val="18"/>
        </w:rPr>
        <w:t>, ‘Disability and social change’ (2006), at 206–259; M. Priestley, ‘Disability and the life course’ (2001); E. Stone, ‘Disability and development’ (1999); B. Albert, ‘In or out of the mainstream? Lessons from research on disability and development cooperation.’ (2006).</w:t>
      </w:r>
    </w:p>
  </w:footnote>
  <w:footnote w:id="123">
    <w:p w:rsidR="00356109" w:rsidRDefault="00356109">
      <w:pPr>
        <w:pStyle w:val="aa"/>
      </w:pPr>
      <w:r>
        <w:rPr>
          <w:rStyle w:val="ac"/>
        </w:rPr>
        <w:footnoteRef/>
      </w:r>
      <w:r>
        <w:t xml:space="preserve"> </w:t>
      </w:r>
      <w:r w:rsidR="003F0CAF" w:rsidRPr="00953104">
        <w:rPr>
          <w:rFonts w:ascii="Arial" w:hAnsi="Arial" w:cs="Arial"/>
          <w:sz w:val="18"/>
          <w:szCs w:val="18"/>
        </w:rPr>
        <w:t>J. Braithwaite and D. Mont, ‘Disability and Poverty: A Survey of World Bank Poverty Assessments and Implications’ (February 2008).</w:t>
      </w:r>
    </w:p>
  </w:footnote>
  <w:footnote w:id="124">
    <w:p w:rsidR="00356109" w:rsidRDefault="00356109">
      <w:pPr>
        <w:pStyle w:val="aa"/>
      </w:pPr>
      <w:r>
        <w:rPr>
          <w:rStyle w:val="ac"/>
        </w:rPr>
        <w:footnoteRef/>
      </w:r>
      <w:r>
        <w:t xml:space="preserve"> </w:t>
      </w:r>
      <w:proofErr w:type="spellStart"/>
      <w:r w:rsidR="003F0CAF" w:rsidRPr="00953104">
        <w:rPr>
          <w:rFonts w:ascii="Arial" w:hAnsi="Arial" w:cs="Arial"/>
          <w:sz w:val="18"/>
          <w:szCs w:val="18"/>
        </w:rPr>
        <w:t>Trömel</w:t>
      </w:r>
      <w:proofErr w:type="spellEnd"/>
      <w:r w:rsidR="003F0CAF" w:rsidRPr="00953104">
        <w:rPr>
          <w:rFonts w:ascii="Arial" w:hAnsi="Arial" w:cs="Arial"/>
          <w:sz w:val="18"/>
          <w:szCs w:val="18"/>
        </w:rPr>
        <w:t>, supra note 18, at 132.</w:t>
      </w:r>
    </w:p>
  </w:footnote>
  <w:footnote w:id="125">
    <w:p w:rsidR="00356109" w:rsidRDefault="00356109">
      <w:pPr>
        <w:pStyle w:val="aa"/>
      </w:pPr>
      <w:r>
        <w:rPr>
          <w:rStyle w:val="ac"/>
        </w:rPr>
        <w:footnoteRef/>
      </w:r>
      <w:r>
        <w:t xml:space="preserve"> </w:t>
      </w:r>
      <w:r w:rsidR="003F0CAF" w:rsidRPr="00953104">
        <w:rPr>
          <w:rFonts w:ascii="Arial" w:hAnsi="Arial" w:cs="Arial"/>
          <w:sz w:val="18"/>
          <w:szCs w:val="18"/>
        </w:rPr>
        <w:t xml:space="preserve">Actually, because there could not be reached consensus on a reference to foreign occupation in the treaty – initially in article 11, later in the preamble –, this issue was the only part of the treaty which could not be approved by consensus. For details see </w:t>
      </w:r>
      <w:proofErr w:type="spellStart"/>
      <w:r w:rsidR="003F0CAF" w:rsidRPr="00953104">
        <w:rPr>
          <w:rFonts w:ascii="Arial" w:hAnsi="Arial" w:cs="Arial"/>
          <w:sz w:val="18"/>
          <w:szCs w:val="18"/>
        </w:rPr>
        <w:t>Trömel</w:t>
      </w:r>
      <w:proofErr w:type="spellEnd"/>
      <w:r w:rsidR="003F0CAF" w:rsidRPr="00953104">
        <w:rPr>
          <w:rFonts w:ascii="Arial" w:hAnsi="Arial" w:cs="Arial"/>
          <w:sz w:val="18"/>
          <w:szCs w:val="18"/>
        </w:rPr>
        <w:t>, supra note 18, at 125.</w:t>
      </w:r>
    </w:p>
  </w:footnote>
  <w:footnote w:id="126">
    <w:p w:rsidR="000E2526" w:rsidRDefault="000E2526">
      <w:pPr>
        <w:pStyle w:val="aa"/>
      </w:pPr>
      <w:r>
        <w:rPr>
          <w:rStyle w:val="ac"/>
        </w:rPr>
        <w:footnoteRef/>
      </w:r>
      <w:r>
        <w:t xml:space="preserve"> </w:t>
      </w:r>
      <w:r w:rsidR="003F0CAF" w:rsidRPr="00953104">
        <w:rPr>
          <w:rFonts w:ascii="Arial" w:hAnsi="Arial" w:cs="Arial"/>
          <w:sz w:val="18"/>
          <w:szCs w:val="18"/>
        </w:rPr>
        <w:t>UN Common Understanding on Human Rights-Based Approaches to development cooperation and programming, at: http://www.undg.org/archive_docs/6959The_Human_Rights_Based_Approach_to_Development_Cooperation_Towards_a_Common_Understanding_a mong_UN.pdf (visited 5 March 2013).</w:t>
      </w:r>
    </w:p>
  </w:footnote>
  <w:footnote w:id="127">
    <w:p w:rsidR="000E2526" w:rsidRDefault="000E2526">
      <w:pPr>
        <w:pStyle w:val="aa"/>
      </w:pPr>
      <w:r>
        <w:rPr>
          <w:rStyle w:val="ac"/>
        </w:rPr>
        <w:footnoteRef/>
      </w:r>
      <w:r>
        <w:t xml:space="preserve"> </w:t>
      </w:r>
      <w:r w:rsidR="003F0CAF" w:rsidRPr="00953104">
        <w:rPr>
          <w:rFonts w:ascii="Arial" w:hAnsi="Arial" w:cs="Arial"/>
          <w:sz w:val="18"/>
          <w:szCs w:val="18"/>
        </w:rPr>
        <w:t xml:space="preserve">Cornwall and </w:t>
      </w:r>
      <w:proofErr w:type="spellStart"/>
      <w:r w:rsidR="003F0CAF" w:rsidRPr="00953104">
        <w:rPr>
          <w:rFonts w:ascii="Arial" w:hAnsi="Arial" w:cs="Arial"/>
          <w:sz w:val="18"/>
          <w:szCs w:val="18"/>
        </w:rPr>
        <w:t>Nyamy-Musembi</w:t>
      </w:r>
      <w:proofErr w:type="spellEnd"/>
      <w:r w:rsidR="003F0CAF" w:rsidRPr="00953104">
        <w:rPr>
          <w:rFonts w:ascii="Arial" w:hAnsi="Arial" w:cs="Arial"/>
          <w:sz w:val="18"/>
          <w:szCs w:val="18"/>
        </w:rPr>
        <w:t>, ‘Putting the 'rights-based' approach to development into perspective’, 8 Third World Quarterly (2004).</w:t>
      </w:r>
    </w:p>
  </w:footnote>
  <w:footnote w:id="128">
    <w:p w:rsidR="000E2526" w:rsidRDefault="000E2526">
      <w:pPr>
        <w:pStyle w:val="aa"/>
      </w:pPr>
      <w:r>
        <w:rPr>
          <w:rStyle w:val="ac"/>
        </w:rPr>
        <w:footnoteRef/>
      </w:r>
      <w:r>
        <w:t xml:space="preserve"> </w:t>
      </w:r>
      <w:r w:rsidR="003F0CAF" w:rsidRPr="00953104">
        <w:rPr>
          <w:rFonts w:ascii="Arial" w:hAnsi="Arial" w:cs="Arial"/>
          <w:sz w:val="18"/>
          <w:szCs w:val="18"/>
        </w:rPr>
        <w:t>Global Thematic Consultation on the Post-2015 Development Agenda (February 2013).</w:t>
      </w:r>
    </w:p>
  </w:footnote>
  <w:footnote w:id="129">
    <w:p w:rsidR="000E2526" w:rsidRDefault="000E2526">
      <w:pPr>
        <w:pStyle w:val="aa"/>
      </w:pPr>
      <w:r>
        <w:rPr>
          <w:rStyle w:val="ac"/>
        </w:rPr>
        <w:footnoteRef/>
      </w:r>
      <w:r>
        <w:t xml:space="preserve"> </w:t>
      </w:r>
      <w:proofErr w:type="spellStart"/>
      <w:r w:rsidR="003F0CAF" w:rsidRPr="00953104">
        <w:rPr>
          <w:rFonts w:ascii="Arial" w:hAnsi="Arial" w:cs="Arial"/>
          <w:sz w:val="18"/>
          <w:szCs w:val="18"/>
        </w:rPr>
        <w:t>Kayess</w:t>
      </w:r>
      <w:proofErr w:type="spellEnd"/>
      <w:r w:rsidR="003F0CAF" w:rsidRPr="00953104">
        <w:rPr>
          <w:rFonts w:ascii="Arial" w:hAnsi="Arial" w:cs="Arial"/>
          <w:sz w:val="18"/>
          <w:szCs w:val="18"/>
        </w:rPr>
        <w:t xml:space="preserve"> and French, supra note 18, at 7.</w:t>
      </w:r>
    </w:p>
  </w:footnote>
  <w:footnote w:id="130">
    <w:p w:rsidR="000E2526" w:rsidRDefault="000E2526">
      <w:pPr>
        <w:pStyle w:val="aa"/>
      </w:pPr>
      <w:r>
        <w:rPr>
          <w:rStyle w:val="ac"/>
        </w:rPr>
        <w:footnoteRef/>
      </w:r>
      <w:r>
        <w:t xml:space="preserve"> </w:t>
      </w:r>
      <w:r w:rsidR="003F0CAF" w:rsidRPr="00953104">
        <w:rPr>
          <w:rFonts w:ascii="Arial" w:hAnsi="Arial" w:cs="Arial"/>
          <w:sz w:val="18"/>
          <w:szCs w:val="18"/>
        </w:rPr>
        <w:t>T. Shakespeare, supra note 59, at 9–92.</w:t>
      </w:r>
    </w:p>
  </w:footnote>
  <w:footnote w:id="131">
    <w:p w:rsidR="000E2526" w:rsidRDefault="000E2526">
      <w:pPr>
        <w:pStyle w:val="aa"/>
      </w:pPr>
      <w:r>
        <w:rPr>
          <w:rStyle w:val="ac"/>
        </w:rPr>
        <w:footnoteRef/>
      </w:r>
      <w:r>
        <w:t xml:space="preserve"> </w:t>
      </w:r>
      <w:proofErr w:type="spellStart"/>
      <w:r w:rsidR="003F0CAF" w:rsidRPr="00953104">
        <w:rPr>
          <w:rFonts w:ascii="Arial" w:hAnsi="Arial" w:cs="Arial"/>
          <w:sz w:val="18"/>
          <w:szCs w:val="18"/>
        </w:rPr>
        <w:t>Traustadóttir</w:t>
      </w:r>
      <w:proofErr w:type="spellEnd"/>
      <w:r w:rsidR="003F0CAF" w:rsidRPr="00953104">
        <w:rPr>
          <w:rFonts w:ascii="Arial" w:hAnsi="Arial" w:cs="Arial"/>
          <w:sz w:val="18"/>
          <w:szCs w:val="18"/>
        </w:rPr>
        <w:t xml:space="preserve">, ‘Disability Studies, the Social Model and Legal Developments’, in O. M. </w:t>
      </w:r>
      <w:proofErr w:type="spellStart"/>
      <w:r w:rsidR="003F0CAF" w:rsidRPr="00953104">
        <w:rPr>
          <w:rFonts w:ascii="Arial" w:hAnsi="Arial" w:cs="Arial"/>
          <w:sz w:val="18"/>
          <w:szCs w:val="18"/>
        </w:rPr>
        <w:t>Arnadóttir</w:t>
      </w:r>
      <w:proofErr w:type="spellEnd"/>
      <w:r w:rsidR="003F0CAF" w:rsidRPr="00953104">
        <w:rPr>
          <w:rFonts w:ascii="Arial" w:hAnsi="Arial" w:cs="Arial"/>
          <w:sz w:val="18"/>
          <w:szCs w:val="18"/>
        </w:rPr>
        <w:t xml:space="preserve"> and G. Quinn (eds), The UN Convention on the Rights of Persons with Disabilities (2009).</w:t>
      </w:r>
    </w:p>
  </w:footnote>
  <w:footnote w:id="132">
    <w:p w:rsidR="000E2526" w:rsidRDefault="000E2526">
      <w:pPr>
        <w:pStyle w:val="aa"/>
      </w:pPr>
      <w:r>
        <w:rPr>
          <w:rStyle w:val="ac"/>
        </w:rPr>
        <w:footnoteRef/>
      </w:r>
      <w:r>
        <w:t xml:space="preserve"> </w:t>
      </w:r>
      <w:proofErr w:type="spellStart"/>
      <w:r w:rsidR="003F0CAF" w:rsidRPr="00953104">
        <w:rPr>
          <w:rFonts w:ascii="Arial" w:hAnsi="Arial" w:cs="Arial"/>
          <w:sz w:val="18"/>
          <w:szCs w:val="18"/>
        </w:rPr>
        <w:t>Waldschmidt</w:t>
      </w:r>
      <w:proofErr w:type="spellEnd"/>
      <w:r w:rsidR="003F0CAF" w:rsidRPr="00953104">
        <w:rPr>
          <w:rFonts w:ascii="Arial" w:hAnsi="Arial" w:cs="Arial"/>
          <w:sz w:val="18"/>
          <w:szCs w:val="18"/>
        </w:rPr>
        <w:t xml:space="preserve">, ‘Disability Studies: </w:t>
      </w:r>
      <w:proofErr w:type="spellStart"/>
      <w:r w:rsidR="003F0CAF" w:rsidRPr="00953104">
        <w:rPr>
          <w:rFonts w:ascii="Arial" w:hAnsi="Arial" w:cs="Arial"/>
          <w:sz w:val="18"/>
          <w:szCs w:val="18"/>
        </w:rPr>
        <w:t>Individuelles</w:t>
      </w:r>
      <w:proofErr w:type="spellEnd"/>
      <w:r w:rsidR="003F0CAF" w:rsidRPr="00953104">
        <w:rPr>
          <w:rFonts w:ascii="Arial" w:hAnsi="Arial" w:cs="Arial"/>
          <w:sz w:val="18"/>
          <w:szCs w:val="18"/>
        </w:rPr>
        <w:t xml:space="preserve">, </w:t>
      </w:r>
      <w:proofErr w:type="spellStart"/>
      <w:r w:rsidR="003F0CAF" w:rsidRPr="00953104">
        <w:rPr>
          <w:rFonts w:ascii="Arial" w:hAnsi="Arial" w:cs="Arial"/>
          <w:sz w:val="18"/>
          <w:szCs w:val="18"/>
        </w:rPr>
        <w:t>soziales</w:t>
      </w:r>
      <w:proofErr w:type="spellEnd"/>
      <w:r w:rsidR="003F0CAF" w:rsidRPr="00953104">
        <w:rPr>
          <w:rFonts w:ascii="Arial" w:hAnsi="Arial" w:cs="Arial"/>
          <w:sz w:val="18"/>
          <w:szCs w:val="18"/>
        </w:rPr>
        <w:t xml:space="preserve"> und/</w:t>
      </w:r>
      <w:proofErr w:type="spellStart"/>
      <w:r w:rsidR="003F0CAF" w:rsidRPr="00953104">
        <w:rPr>
          <w:rFonts w:ascii="Arial" w:hAnsi="Arial" w:cs="Arial"/>
          <w:sz w:val="18"/>
          <w:szCs w:val="18"/>
        </w:rPr>
        <w:t>oder</w:t>
      </w:r>
      <w:proofErr w:type="spellEnd"/>
      <w:r w:rsidR="003F0CAF" w:rsidRPr="00953104">
        <w:rPr>
          <w:rFonts w:ascii="Arial" w:hAnsi="Arial" w:cs="Arial"/>
          <w:sz w:val="18"/>
          <w:szCs w:val="18"/>
        </w:rPr>
        <w:t xml:space="preserve"> </w:t>
      </w:r>
      <w:proofErr w:type="spellStart"/>
      <w:r w:rsidR="003F0CAF" w:rsidRPr="00953104">
        <w:rPr>
          <w:rFonts w:ascii="Arial" w:hAnsi="Arial" w:cs="Arial"/>
          <w:sz w:val="18"/>
          <w:szCs w:val="18"/>
        </w:rPr>
        <w:t>kulturelles</w:t>
      </w:r>
      <w:proofErr w:type="spellEnd"/>
      <w:r w:rsidR="003F0CAF" w:rsidRPr="00953104">
        <w:rPr>
          <w:rFonts w:ascii="Arial" w:hAnsi="Arial" w:cs="Arial"/>
          <w:sz w:val="18"/>
          <w:szCs w:val="18"/>
        </w:rPr>
        <w:t xml:space="preserve"> Modell von </w:t>
      </w:r>
      <w:proofErr w:type="spellStart"/>
      <w:r w:rsidR="003F0CAF" w:rsidRPr="00953104">
        <w:rPr>
          <w:rFonts w:ascii="Arial" w:hAnsi="Arial" w:cs="Arial"/>
          <w:sz w:val="18"/>
          <w:szCs w:val="18"/>
        </w:rPr>
        <w:t>Behinderung</w:t>
      </w:r>
      <w:proofErr w:type="spellEnd"/>
      <w:r w:rsidR="003F0CAF" w:rsidRPr="00953104">
        <w:rPr>
          <w:rFonts w:ascii="Arial" w:hAnsi="Arial" w:cs="Arial"/>
          <w:sz w:val="18"/>
          <w:szCs w:val="18"/>
        </w:rPr>
        <w:t xml:space="preserve">?’, 1 </w:t>
      </w:r>
      <w:proofErr w:type="spellStart"/>
      <w:r w:rsidR="003F0CAF" w:rsidRPr="00953104">
        <w:rPr>
          <w:rFonts w:ascii="Arial" w:hAnsi="Arial" w:cs="Arial"/>
          <w:sz w:val="18"/>
          <w:szCs w:val="18"/>
        </w:rPr>
        <w:t>Psychologie</w:t>
      </w:r>
      <w:proofErr w:type="spellEnd"/>
      <w:r w:rsidR="003F0CAF" w:rsidRPr="00953104">
        <w:rPr>
          <w:rFonts w:ascii="Arial" w:hAnsi="Arial" w:cs="Arial"/>
          <w:sz w:val="18"/>
          <w:szCs w:val="18"/>
        </w:rPr>
        <w:t xml:space="preserve"> und </w:t>
      </w:r>
      <w:proofErr w:type="spellStart"/>
      <w:r w:rsidR="003F0CAF" w:rsidRPr="00953104">
        <w:rPr>
          <w:rFonts w:ascii="Arial" w:hAnsi="Arial" w:cs="Arial"/>
          <w:sz w:val="18"/>
          <w:szCs w:val="18"/>
        </w:rPr>
        <w:t>Gesellschaftskritik</w:t>
      </w:r>
      <w:proofErr w:type="spellEnd"/>
      <w:r w:rsidR="003F0CAF" w:rsidRPr="00953104">
        <w:rPr>
          <w:rFonts w:ascii="Arial" w:hAnsi="Arial" w:cs="Arial"/>
          <w:sz w:val="18"/>
          <w:szCs w:val="18"/>
        </w:rPr>
        <w:t xml:space="preserve"> (2005).</w:t>
      </w:r>
    </w:p>
  </w:footnote>
  <w:footnote w:id="133">
    <w:p w:rsidR="000E2526" w:rsidRDefault="000E2526">
      <w:pPr>
        <w:pStyle w:val="aa"/>
      </w:pPr>
      <w:r>
        <w:rPr>
          <w:rStyle w:val="ac"/>
        </w:rPr>
        <w:footnoteRef/>
      </w:r>
      <w:r>
        <w:t xml:space="preserve"> </w:t>
      </w:r>
      <w:r w:rsidR="003F0CAF" w:rsidRPr="00953104">
        <w:rPr>
          <w:rFonts w:ascii="Arial" w:hAnsi="Arial" w:cs="Arial"/>
          <w:sz w:val="18"/>
          <w:szCs w:val="18"/>
        </w:rPr>
        <w:t>Priestley, ‘Constructions and Creations: Idealism, materialism and disability theory’, 1 Disability &amp; Society (1998).</w:t>
      </w:r>
    </w:p>
  </w:footnote>
  <w:footnote w:id="134">
    <w:p w:rsidR="000E2526" w:rsidRDefault="000E2526">
      <w:pPr>
        <w:pStyle w:val="aa"/>
      </w:pPr>
      <w:r>
        <w:rPr>
          <w:rStyle w:val="ac"/>
        </w:rPr>
        <w:footnoteRef/>
      </w:r>
      <w:r>
        <w:t xml:space="preserve"> </w:t>
      </w:r>
      <w:r w:rsidR="003F0CAF" w:rsidRPr="00953104">
        <w:rPr>
          <w:rFonts w:ascii="Arial" w:hAnsi="Arial" w:cs="Arial"/>
          <w:sz w:val="18"/>
          <w:szCs w:val="18"/>
        </w:rPr>
        <w:t xml:space="preserve">G. Quinn and T. </w:t>
      </w:r>
      <w:proofErr w:type="spellStart"/>
      <w:r w:rsidR="003F0CAF" w:rsidRPr="00953104">
        <w:rPr>
          <w:rFonts w:ascii="Arial" w:hAnsi="Arial" w:cs="Arial"/>
          <w:sz w:val="18"/>
          <w:szCs w:val="18"/>
        </w:rPr>
        <w:t>Degener</w:t>
      </w:r>
      <w:proofErr w:type="spellEnd"/>
      <w:r w:rsidR="003F0CAF" w:rsidRPr="00953104">
        <w:rPr>
          <w:rFonts w:ascii="Arial" w:hAnsi="Arial" w:cs="Arial"/>
          <w:sz w:val="18"/>
          <w:szCs w:val="18"/>
        </w:rPr>
        <w:t>, supra note 20, at 256–270.</w:t>
      </w:r>
    </w:p>
  </w:footnote>
  <w:footnote w:id="135">
    <w:p w:rsidR="000E2526" w:rsidRDefault="000E2526">
      <w:pPr>
        <w:pStyle w:val="aa"/>
      </w:pPr>
      <w:r>
        <w:rPr>
          <w:rStyle w:val="ac"/>
        </w:rPr>
        <w:footnoteRef/>
      </w:r>
      <w:r>
        <w:t xml:space="preserve"> </w:t>
      </w:r>
      <w:r w:rsidR="003F0CAF" w:rsidRPr="00953104">
        <w:rPr>
          <w:rFonts w:ascii="Arial" w:hAnsi="Arial" w:cs="Arial"/>
          <w:sz w:val="18"/>
          <w:szCs w:val="18"/>
        </w:rPr>
        <w:t>Concluding Observations on the initial report of Argentina as approved by the Committee at its eighth session (17–28 September 2012), CRPD/C/ARG/CO/1, 8 October 2012, para 7–8; Concluding Observations on the initial report of China, adopted by the Committee at its eighth session (17–28 September 2012), CRPD/C/CHN/CO/1, 15 October 2012, para 9–10, 16, 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87"/>
    <w:rsid w:val="00003EB2"/>
    <w:rsid w:val="0001144D"/>
    <w:rsid w:val="000201A5"/>
    <w:rsid w:val="00047209"/>
    <w:rsid w:val="0005637D"/>
    <w:rsid w:val="0007575F"/>
    <w:rsid w:val="00094365"/>
    <w:rsid w:val="000D16FB"/>
    <w:rsid w:val="000E2526"/>
    <w:rsid w:val="000E5092"/>
    <w:rsid w:val="00132FEA"/>
    <w:rsid w:val="00190BAD"/>
    <w:rsid w:val="001B152A"/>
    <w:rsid w:val="001E3488"/>
    <w:rsid w:val="00204D5B"/>
    <w:rsid w:val="00206A18"/>
    <w:rsid w:val="00282CB1"/>
    <w:rsid w:val="00296BF5"/>
    <w:rsid w:val="002B17E6"/>
    <w:rsid w:val="002D57D6"/>
    <w:rsid w:val="00314884"/>
    <w:rsid w:val="00343D51"/>
    <w:rsid w:val="00356109"/>
    <w:rsid w:val="00360DC0"/>
    <w:rsid w:val="00394A68"/>
    <w:rsid w:val="003B31E9"/>
    <w:rsid w:val="003B3846"/>
    <w:rsid w:val="003B6A79"/>
    <w:rsid w:val="003D0894"/>
    <w:rsid w:val="003F0BF3"/>
    <w:rsid w:val="003F0CAF"/>
    <w:rsid w:val="0041601D"/>
    <w:rsid w:val="00424136"/>
    <w:rsid w:val="004276B6"/>
    <w:rsid w:val="00440FA5"/>
    <w:rsid w:val="00452A95"/>
    <w:rsid w:val="004618D9"/>
    <w:rsid w:val="0046352C"/>
    <w:rsid w:val="004E25BB"/>
    <w:rsid w:val="00501C9F"/>
    <w:rsid w:val="00577ED6"/>
    <w:rsid w:val="005C439D"/>
    <w:rsid w:val="005E2088"/>
    <w:rsid w:val="005E2357"/>
    <w:rsid w:val="006223C3"/>
    <w:rsid w:val="00635E22"/>
    <w:rsid w:val="00645FE6"/>
    <w:rsid w:val="006B54E8"/>
    <w:rsid w:val="007638B2"/>
    <w:rsid w:val="00766139"/>
    <w:rsid w:val="007A4632"/>
    <w:rsid w:val="007C4D7D"/>
    <w:rsid w:val="007D2F66"/>
    <w:rsid w:val="008007BA"/>
    <w:rsid w:val="00804677"/>
    <w:rsid w:val="00852987"/>
    <w:rsid w:val="0086583A"/>
    <w:rsid w:val="008D45F8"/>
    <w:rsid w:val="0090635C"/>
    <w:rsid w:val="00917E72"/>
    <w:rsid w:val="0094290E"/>
    <w:rsid w:val="00953104"/>
    <w:rsid w:val="00963C08"/>
    <w:rsid w:val="00965F55"/>
    <w:rsid w:val="00997D99"/>
    <w:rsid w:val="00A00E30"/>
    <w:rsid w:val="00A32C54"/>
    <w:rsid w:val="00A831EF"/>
    <w:rsid w:val="00A96C57"/>
    <w:rsid w:val="00AC01D8"/>
    <w:rsid w:val="00AD7EEA"/>
    <w:rsid w:val="00B30EB2"/>
    <w:rsid w:val="00B513D8"/>
    <w:rsid w:val="00BD121B"/>
    <w:rsid w:val="00BF05FE"/>
    <w:rsid w:val="00C0794A"/>
    <w:rsid w:val="00C3504A"/>
    <w:rsid w:val="00C90463"/>
    <w:rsid w:val="00CF0704"/>
    <w:rsid w:val="00D015D9"/>
    <w:rsid w:val="00D44515"/>
    <w:rsid w:val="00D53FBE"/>
    <w:rsid w:val="00D5427B"/>
    <w:rsid w:val="00D71554"/>
    <w:rsid w:val="00D77707"/>
    <w:rsid w:val="00D87AA7"/>
    <w:rsid w:val="00D922E8"/>
    <w:rsid w:val="00D934E2"/>
    <w:rsid w:val="00DB4DB4"/>
    <w:rsid w:val="00DB4E27"/>
    <w:rsid w:val="00DC7C76"/>
    <w:rsid w:val="00E049EA"/>
    <w:rsid w:val="00E12734"/>
    <w:rsid w:val="00E81509"/>
    <w:rsid w:val="00EE1211"/>
    <w:rsid w:val="00F03CD8"/>
    <w:rsid w:val="00F03E78"/>
    <w:rsid w:val="00F26150"/>
    <w:rsid w:val="00F463C9"/>
    <w:rsid w:val="00F53EFC"/>
    <w:rsid w:val="00F60C99"/>
    <w:rsid w:val="00F7712B"/>
    <w:rsid w:val="00F8299F"/>
    <w:rsid w:val="00F834AE"/>
    <w:rsid w:val="00F83A27"/>
    <w:rsid w:val="00F86F78"/>
    <w:rsid w:val="00F93FCA"/>
    <w:rsid w:val="00FE0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D788DDC8-5200-47B8-B833-BDB63E8B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0FA5"/>
    <w:rPr>
      <w:color w:val="0563C1" w:themeColor="hyperlink"/>
      <w:u w:val="single"/>
    </w:rPr>
  </w:style>
  <w:style w:type="paragraph" w:styleId="a4">
    <w:name w:val="header"/>
    <w:basedOn w:val="a"/>
    <w:link w:val="a5"/>
    <w:uiPriority w:val="99"/>
    <w:unhideWhenUsed/>
    <w:rsid w:val="00440FA5"/>
    <w:pPr>
      <w:tabs>
        <w:tab w:val="center" w:pos="4252"/>
        <w:tab w:val="right" w:pos="8504"/>
      </w:tabs>
      <w:snapToGrid w:val="0"/>
    </w:pPr>
  </w:style>
  <w:style w:type="character" w:customStyle="1" w:styleId="a5">
    <w:name w:val="ヘッダー (文字)"/>
    <w:basedOn w:val="a0"/>
    <w:link w:val="a4"/>
    <w:uiPriority w:val="99"/>
    <w:rsid w:val="00440FA5"/>
  </w:style>
  <w:style w:type="paragraph" w:styleId="a6">
    <w:name w:val="footer"/>
    <w:basedOn w:val="a"/>
    <w:link w:val="a7"/>
    <w:uiPriority w:val="99"/>
    <w:unhideWhenUsed/>
    <w:rsid w:val="00440FA5"/>
    <w:pPr>
      <w:tabs>
        <w:tab w:val="center" w:pos="4252"/>
        <w:tab w:val="right" w:pos="8504"/>
      </w:tabs>
      <w:snapToGrid w:val="0"/>
    </w:pPr>
  </w:style>
  <w:style w:type="character" w:customStyle="1" w:styleId="a7">
    <w:name w:val="フッター (文字)"/>
    <w:basedOn w:val="a0"/>
    <w:link w:val="a6"/>
    <w:uiPriority w:val="99"/>
    <w:rsid w:val="00440FA5"/>
  </w:style>
  <w:style w:type="paragraph" w:styleId="a8">
    <w:name w:val="Balloon Text"/>
    <w:basedOn w:val="a"/>
    <w:link w:val="a9"/>
    <w:uiPriority w:val="99"/>
    <w:semiHidden/>
    <w:unhideWhenUsed/>
    <w:rsid w:val="00F60C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0C99"/>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F60C99"/>
    <w:pPr>
      <w:snapToGrid w:val="0"/>
      <w:jc w:val="left"/>
    </w:pPr>
  </w:style>
  <w:style w:type="character" w:customStyle="1" w:styleId="ab">
    <w:name w:val="脚注文字列 (文字)"/>
    <w:basedOn w:val="a0"/>
    <w:link w:val="aa"/>
    <w:uiPriority w:val="99"/>
    <w:semiHidden/>
    <w:rsid w:val="00F60C99"/>
  </w:style>
  <w:style w:type="character" w:styleId="ac">
    <w:name w:val="footnote reference"/>
    <w:basedOn w:val="a0"/>
    <w:uiPriority w:val="99"/>
    <w:semiHidden/>
    <w:unhideWhenUsed/>
    <w:rsid w:val="00F60C99"/>
    <w:rPr>
      <w:vertAlign w:val="superscript"/>
    </w:rPr>
  </w:style>
  <w:style w:type="paragraph" w:styleId="ad">
    <w:name w:val="endnote text"/>
    <w:basedOn w:val="a"/>
    <w:link w:val="ae"/>
    <w:uiPriority w:val="99"/>
    <w:semiHidden/>
    <w:unhideWhenUsed/>
    <w:rsid w:val="00953104"/>
    <w:pPr>
      <w:snapToGrid w:val="0"/>
      <w:jc w:val="left"/>
    </w:pPr>
  </w:style>
  <w:style w:type="character" w:customStyle="1" w:styleId="ae">
    <w:name w:val="文末脚注文字列 (文字)"/>
    <w:basedOn w:val="a0"/>
    <w:link w:val="ad"/>
    <w:uiPriority w:val="99"/>
    <w:semiHidden/>
    <w:rsid w:val="00953104"/>
  </w:style>
  <w:style w:type="character" w:styleId="af">
    <w:name w:val="endnote reference"/>
    <w:basedOn w:val="a0"/>
    <w:uiPriority w:val="99"/>
    <w:semiHidden/>
    <w:unhideWhenUsed/>
    <w:rsid w:val="00953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fdeaf.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4F5EB-58A1-46D6-A8ED-AAFE6681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3165</Words>
  <Characters>18045</Characters>
  <Application>Microsoft Office Word</Application>
  <DocSecurity>4</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Araki</cp:lastModifiedBy>
  <cp:revision>2</cp:revision>
  <cp:lastPrinted>2019-08-10T08:01:00Z</cp:lastPrinted>
  <dcterms:created xsi:type="dcterms:W3CDTF">2019-08-24T23:41:00Z</dcterms:created>
  <dcterms:modified xsi:type="dcterms:W3CDTF">2019-08-24T23:41:00Z</dcterms:modified>
</cp:coreProperties>
</file>